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07" w:rsidRPr="000B55E2" w:rsidRDefault="004E70E0" w:rsidP="00607E8F">
      <w:pPr>
        <w:pStyle w:val="Title"/>
        <w:rPr>
          <w:rFonts w:ascii="Arial" w:hAnsi="Arial" w:cs="Arial"/>
          <w:sz w:val="24"/>
          <w:szCs w:val="24"/>
          <w:u w:val="none"/>
        </w:rPr>
      </w:pPr>
      <w:r>
        <w:rPr>
          <w:rFonts w:ascii="Arial" w:hAnsi="Arial" w:cs="Arial"/>
          <w:sz w:val="24"/>
          <w:szCs w:val="24"/>
          <w:u w:val="none"/>
        </w:rPr>
        <w:t xml:space="preserve">Regulatory </w:t>
      </w:r>
      <w:r w:rsidR="00877BC3" w:rsidRPr="000B55E2">
        <w:rPr>
          <w:rFonts w:ascii="Arial" w:hAnsi="Arial" w:cs="Arial"/>
          <w:sz w:val="24"/>
          <w:szCs w:val="24"/>
          <w:u w:val="none"/>
        </w:rPr>
        <w:t>Impact Analysis for RIN 2900-AO73</w:t>
      </w:r>
    </w:p>
    <w:p w:rsidR="00877BC3" w:rsidRPr="000B55E2" w:rsidRDefault="00877BC3" w:rsidP="00607E8F">
      <w:pPr>
        <w:pStyle w:val="Title"/>
        <w:rPr>
          <w:rFonts w:ascii="Arial" w:hAnsi="Arial" w:cs="Arial"/>
          <w:sz w:val="24"/>
          <w:szCs w:val="24"/>
          <w:u w:val="none"/>
        </w:rPr>
      </w:pPr>
    </w:p>
    <w:p w:rsidR="00877BC3" w:rsidRPr="000B55E2" w:rsidRDefault="00877BC3" w:rsidP="000B55E2">
      <w:pPr>
        <w:pStyle w:val="Title"/>
        <w:jc w:val="left"/>
        <w:rPr>
          <w:rFonts w:ascii="Arial" w:hAnsi="Arial" w:cs="Arial"/>
          <w:b w:val="0"/>
          <w:sz w:val="24"/>
          <w:szCs w:val="24"/>
          <w:u w:val="none"/>
        </w:rPr>
      </w:pPr>
      <w:r w:rsidRPr="000B55E2">
        <w:rPr>
          <w:rFonts w:ascii="Arial" w:hAnsi="Arial" w:cs="Arial"/>
          <w:sz w:val="24"/>
          <w:szCs w:val="24"/>
          <w:u w:val="none"/>
        </w:rPr>
        <w:t>Title of Regulation</w:t>
      </w:r>
      <w:r w:rsidRPr="000B55E2">
        <w:rPr>
          <w:rFonts w:ascii="Arial" w:hAnsi="Arial" w:cs="Arial"/>
          <w:b w:val="0"/>
          <w:sz w:val="24"/>
          <w:szCs w:val="24"/>
          <w:u w:val="none"/>
        </w:rPr>
        <w:t xml:space="preserve">:  </w:t>
      </w:r>
      <w:r w:rsidR="008178BF" w:rsidRPr="000B55E2">
        <w:rPr>
          <w:rFonts w:ascii="Arial" w:hAnsi="Arial" w:cs="Arial"/>
          <w:b w:val="0"/>
          <w:sz w:val="24"/>
          <w:szCs w:val="24"/>
          <w:u w:val="none"/>
        </w:rPr>
        <w:t>Net Worth, Asset Transfers, and Income Exclusions for Needs-Based Benefits</w:t>
      </w:r>
    </w:p>
    <w:p w:rsidR="008178BF" w:rsidRPr="000B55E2" w:rsidRDefault="008178BF" w:rsidP="000B55E2">
      <w:pPr>
        <w:pStyle w:val="Title"/>
        <w:jc w:val="left"/>
        <w:rPr>
          <w:rFonts w:ascii="Arial" w:hAnsi="Arial" w:cs="Arial"/>
          <w:b w:val="0"/>
          <w:sz w:val="24"/>
          <w:szCs w:val="24"/>
          <w:u w:val="none"/>
        </w:rPr>
      </w:pPr>
    </w:p>
    <w:p w:rsidR="008178BF" w:rsidRPr="000B55E2" w:rsidRDefault="008178BF" w:rsidP="000B55E2">
      <w:pPr>
        <w:pStyle w:val="Title"/>
        <w:jc w:val="left"/>
        <w:rPr>
          <w:rFonts w:ascii="Arial" w:hAnsi="Arial" w:cs="Arial"/>
          <w:b w:val="0"/>
          <w:sz w:val="24"/>
          <w:szCs w:val="24"/>
          <w:u w:val="none"/>
        </w:rPr>
      </w:pPr>
      <w:r w:rsidRPr="000B55E2">
        <w:rPr>
          <w:rFonts w:ascii="Arial" w:hAnsi="Arial" w:cs="Arial"/>
          <w:sz w:val="24"/>
          <w:szCs w:val="24"/>
          <w:u w:val="none"/>
        </w:rPr>
        <w:t>Purpose</w:t>
      </w:r>
      <w:r w:rsidRPr="000B55E2">
        <w:rPr>
          <w:rFonts w:ascii="Arial" w:hAnsi="Arial" w:cs="Arial"/>
          <w:b w:val="0"/>
          <w:sz w:val="24"/>
          <w:szCs w:val="24"/>
          <w:u w:val="none"/>
        </w:rPr>
        <w:t>:  To determine the economic impact of this rulemaking.</w:t>
      </w:r>
    </w:p>
    <w:p w:rsidR="00D57D07" w:rsidRPr="008178BF" w:rsidRDefault="00D57D07">
      <w:pPr>
        <w:rPr>
          <w:rFonts w:ascii="Arial" w:hAnsi="Arial" w:cs="Arial"/>
          <w:b/>
          <w:bCs/>
          <w:sz w:val="24"/>
          <w:szCs w:val="24"/>
          <w:u w:val="single"/>
        </w:rPr>
      </w:pPr>
    </w:p>
    <w:p w:rsidR="00D57D07" w:rsidRDefault="008178BF" w:rsidP="000B55E2">
      <w:pPr>
        <w:rPr>
          <w:rFonts w:ascii="Arial" w:hAnsi="Arial" w:cs="Arial"/>
          <w:sz w:val="24"/>
        </w:rPr>
      </w:pPr>
      <w:r w:rsidRPr="000B55E2">
        <w:rPr>
          <w:rFonts w:ascii="Arial" w:hAnsi="Arial" w:cs="Arial"/>
          <w:b/>
          <w:sz w:val="24"/>
          <w:szCs w:val="24"/>
        </w:rPr>
        <w:t>The Need for the Rulemaking</w:t>
      </w:r>
      <w:r>
        <w:rPr>
          <w:rFonts w:ascii="Arial" w:hAnsi="Arial" w:cs="Arial"/>
          <w:sz w:val="24"/>
          <w:szCs w:val="24"/>
        </w:rPr>
        <w:t xml:space="preserve">:  </w:t>
      </w:r>
      <w:r w:rsidR="00607E8F" w:rsidRPr="00607E8F">
        <w:rPr>
          <w:rFonts w:ascii="Arial" w:hAnsi="Arial" w:cs="Arial"/>
          <w:sz w:val="24"/>
        </w:rPr>
        <w:t>The Department of Veterans Affairs (VA) proposes to amend its regulations governing entitlement to VA pension to maintain the integrity of the pension program and to implement recent statutory changes.  The proposed regulations would establish new requirements pertaining to the evaluation of net worth and asset transfers for pension purposes and would identify those medical expenses that may be deducted from countable income for VA’s needs-based benefit programs.</w:t>
      </w:r>
    </w:p>
    <w:p w:rsidR="008178BF" w:rsidRDefault="008178BF" w:rsidP="000B55E2">
      <w:pPr>
        <w:rPr>
          <w:rFonts w:ascii="Arial" w:hAnsi="Arial" w:cs="Arial"/>
          <w:sz w:val="24"/>
        </w:rPr>
      </w:pPr>
    </w:p>
    <w:p w:rsidR="008178BF" w:rsidRDefault="008178BF" w:rsidP="000B55E2">
      <w:pPr>
        <w:rPr>
          <w:rFonts w:ascii="Arial" w:hAnsi="Arial" w:cs="Arial"/>
          <w:sz w:val="24"/>
        </w:rPr>
      </w:pPr>
      <w:r w:rsidRPr="000B55E2">
        <w:rPr>
          <w:rFonts w:ascii="Arial" w:hAnsi="Arial" w:cs="Arial"/>
          <w:sz w:val="24"/>
          <w:u w:val="single"/>
        </w:rPr>
        <w:t>Legal authority</w:t>
      </w:r>
      <w:r>
        <w:rPr>
          <w:rFonts w:ascii="Arial" w:hAnsi="Arial" w:cs="Arial"/>
          <w:sz w:val="24"/>
        </w:rPr>
        <w:t>.  VA has authority under 38 U.S.C. § 501(a) to prescribe all rules and regulations necessary or appropriate to carry out the laws administered by the Department.  Because VA administers pension benefits in chapter 15 of title 38 United States Code and parents’ dependency and indemnity compensation (DIC) under chapter 13 of title 38 United States Code, it has authority to prescribe regulations necessary and appropriate for administering these statutes.</w:t>
      </w:r>
    </w:p>
    <w:p w:rsidR="008178BF" w:rsidRDefault="008178BF" w:rsidP="000B55E2">
      <w:pPr>
        <w:rPr>
          <w:rFonts w:ascii="Arial" w:hAnsi="Arial" w:cs="Arial"/>
          <w:sz w:val="24"/>
        </w:rPr>
      </w:pPr>
    </w:p>
    <w:p w:rsidR="00B8301C" w:rsidRDefault="008178BF" w:rsidP="000B55E2">
      <w:pPr>
        <w:rPr>
          <w:rFonts w:ascii="Arial" w:hAnsi="Arial" w:cs="Arial"/>
          <w:sz w:val="24"/>
        </w:rPr>
      </w:pPr>
      <w:r w:rsidRPr="000B55E2">
        <w:rPr>
          <w:rFonts w:ascii="Arial" w:hAnsi="Arial" w:cs="Arial"/>
          <w:sz w:val="24"/>
          <w:u w:val="single"/>
        </w:rPr>
        <w:t>Why does VBA want to amend the existing regulations pertaining to pension and its other needs-based benefits</w:t>
      </w:r>
      <w:r>
        <w:rPr>
          <w:rFonts w:ascii="Arial" w:hAnsi="Arial" w:cs="Arial"/>
          <w:sz w:val="24"/>
        </w:rPr>
        <w:t xml:space="preserve">?  </w:t>
      </w:r>
      <w:r w:rsidR="00B8301C">
        <w:rPr>
          <w:rFonts w:ascii="Arial" w:hAnsi="Arial" w:cs="Arial"/>
          <w:sz w:val="24"/>
        </w:rPr>
        <w:t xml:space="preserve">VA is statutorily precluded from paying pension if “it is reasonable” that a claimant should consume some portion of his or her resources before receiving </w:t>
      </w:r>
      <w:r w:rsidR="00580C09">
        <w:rPr>
          <w:rFonts w:ascii="Arial" w:hAnsi="Arial" w:cs="Arial"/>
          <w:sz w:val="24"/>
        </w:rPr>
        <w:t xml:space="preserve">needs-based pension benefits.  </w:t>
      </w:r>
      <w:r w:rsidR="00D51723" w:rsidRPr="00D51723">
        <w:rPr>
          <w:rFonts w:ascii="Arial" w:hAnsi="Arial" w:cs="Arial"/>
          <w:sz w:val="24"/>
        </w:rPr>
        <w:t>Currently, VA does not have a</w:t>
      </w:r>
      <w:r w:rsidR="001E74C1">
        <w:rPr>
          <w:rFonts w:ascii="Arial" w:hAnsi="Arial" w:cs="Arial"/>
          <w:sz w:val="24"/>
        </w:rPr>
        <w:t xml:space="preserve">n established </w:t>
      </w:r>
      <w:r w:rsidR="00D51723" w:rsidRPr="00D51723">
        <w:rPr>
          <w:rFonts w:ascii="Arial" w:hAnsi="Arial" w:cs="Arial"/>
          <w:sz w:val="24"/>
        </w:rPr>
        <w:t xml:space="preserve">net worth limit for </w:t>
      </w:r>
      <w:r w:rsidR="00B8301C">
        <w:rPr>
          <w:rFonts w:ascii="Arial" w:hAnsi="Arial" w:cs="Arial"/>
          <w:sz w:val="24"/>
        </w:rPr>
        <w:t>p</w:t>
      </w:r>
      <w:r w:rsidR="00D51723" w:rsidRPr="00D51723">
        <w:rPr>
          <w:rFonts w:ascii="Arial" w:hAnsi="Arial" w:cs="Arial"/>
          <w:sz w:val="24"/>
        </w:rPr>
        <w:t>ension recipients</w:t>
      </w:r>
      <w:r w:rsidR="00B8301C">
        <w:rPr>
          <w:rFonts w:ascii="Arial" w:hAnsi="Arial" w:cs="Arial"/>
          <w:sz w:val="24"/>
        </w:rPr>
        <w:t xml:space="preserve"> and current regulations do not provide specific guidance regarding how to determine whether or not a claimant’s financial resources are sufficient to meet the claimant’s needs without the pension benefit</w:t>
      </w:r>
      <w:r w:rsidR="00D51723" w:rsidRPr="00D51723">
        <w:rPr>
          <w:rFonts w:ascii="Arial" w:hAnsi="Arial" w:cs="Arial"/>
          <w:sz w:val="24"/>
        </w:rPr>
        <w:t xml:space="preserve">. </w:t>
      </w:r>
      <w:r w:rsidR="00B8301C">
        <w:rPr>
          <w:rFonts w:ascii="Arial" w:hAnsi="Arial" w:cs="Arial"/>
          <w:sz w:val="24"/>
        </w:rPr>
        <w:t xml:space="preserve"> In addition, current regulations do not prohibit a claimant from transferring or disposing of assets before applying for pension.</w:t>
      </w:r>
    </w:p>
    <w:p w:rsidR="00B8301C" w:rsidRDefault="00B8301C" w:rsidP="000B55E2">
      <w:pPr>
        <w:rPr>
          <w:rFonts w:ascii="Arial" w:hAnsi="Arial" w:cs="Arial"/>
          <w:sz w:val="24"/>
        </w:rPr>
      </w:pPr>
    </w:p>
    <w:p w:rsidR="008178BF" w:rsidRDefault="00580C09" w:rsidP="000B55E2">
      <w:pPr>
        <w:rPr>
          <w:rFonts w:ascii="Arial" w:hAnsi="Arial" w:cs="Arial"/>
          <w:sz w:val="24"/>
        </w:rPr>
      </w:pPr>
      <w:r>
        <w:rPr>
          <w:rFonts w:ascii="Arial" w:hAnsi="Arial" w:cs="Arial"/>
          <w:sz w:val="24"/>
        </w:rPr>
        <w:t>VA law provides that VA may deduct a claimant’s out-of-pocket medical expenses from the claimant’s countable income to decrease the claimant’s income, thereby increasing the claimant’s benefit entitlement rate.  However, current regulations do not define or describe what VA considers to be a medical expense.  This has led to inconsistent determinations regarding medical expense deductions, particularly with respect to room and board deductions for various types of facilities that do not, in fact, provide medical or custodial care.</w:t>
      </w:r>
    </w:p>
    <w:p w:rsidR="008178BF" w:rsidRDefault="008178BF" w:rsidP="000B55E2">
      <w:pPr>
        <w:rPr>
          <w:rFonts w:ascii="Arial" w:hAnsi="Arial" w:cs="Arial"/>
          <w:sz w:val="24"/>
        </w:rPr>
      </w:pPr>
    </w:p>
    <w:p w:rsidR="0064023A" w:rsidRPr="00D51723" w:rsidRDefault="00580C09" w:rsidP="000B55E2">
      <w:pPr>
        <w:rPr>
          <w:rFonts w:ascii="Arial" w:hAnsi="Arial" w:cs="Arial"/>
          <w:sz w:val="24"/>
        </w:rPr>
      </w:pPr>
      <w:r w:rsidRPr="000B55E2">
        <w:rPr>
          <w:rFonts w:ascii="Arial" w:hAnsi="Arial" w:cs="Arial"/>
          <w:sz w:val="24"/>
          <w:u w:val="single"/>
        </w:rPr>
        <w:t>What would the rulemaking amend</w:t>
      </w:r>
      <w:r>
        <w:rPr>
          <w:rFonts w:ascii="Arial" w:hAnsi="Arial" w:cs="Arial"/>
          <w:sz w:val="24"/>
        </w:rPr>
        <w:t xml:space="preserve">?  </w:t>
      </w:r>
      <w:r w:rsidR="00D51723" w:rsidRPr="00D51723">
        <w:rPr>
          <w:rFonts w:ascii="Arial" w:hAnsi="Arial" w:cs="Arial"/>
          <w:sz w:val="24"/>
        </w:rPr>
        <w:t xml:space="preserve">This </w:t>
      </w:r>
      <w:r w:rsidR="0055780E">
        <w:rPr>
          <w:rFonts w:ascii="Arial" w:hAnsi="Arial" w:cs="Arial"/>
          <w:sz w:val="24"/>
        </w:rPr>
        <w:t>rulemaking</w:t>
      </w:r>
      <w:r w:rsidR="0055780E" w:rsidRPr="00D51723">
        <w:rPr>
          <w:rFonts w:ascii="Arial" w:hAnsi="Arial" w:cs="Arial"/>
          <w:sz w:val="24"/>
        </w:rPr>
        <w:t xml:space="preserve"> </w:t>
      </w:r>
      <w:r w:rsidR="00D51723" w:rsidRPr="00D51723">
        <w:rPr>
          <w:rFonts w:ascii="Arial" w:hAnsi="Arial" w:cs="Arial"/>
          <w:sz w:val="24"/>
        </w:rPr>
        <w:t xml:space="preserve">proposes a current </w:t>
      </w:r>
      <w:r w:rsidR="007B723A">
        <w:rPr>
          <w:rFonts w:ascii="Arial" w:hAnsi="Arial" w:cs="Arial"/>
          <w:sz w:val="24"/>
        </w:rPr>
        <w:t>(calendar-year 2015</w:t>
      </w:r>
      <w:r w:rsidR="0055780E">
        <w:rPr>
          <w:rFonts w:ascii="Arial" w:hAnsi="Arial" w:cs="Arial"/>
          <w:sz w:val="24"/>
        </w:rPr>
        <w:t xml:space="preserve">) </w:t>
      </w:r>
      <w:r w:rsidR="007B723A">
        <w:rPr>
          <w:rFonts w:ascii="Arial" w:hAnsi="Arial" w:cs="Arial"/>
          <w:sz w:val="24"/>
        </w:rPr>
        <w:t>net worth limit of $119,220</w:t>
      </w:r>
      <w:r w:rsidR="00D51723" w:rsidRPr="00D51723">
        <w:rPr>
          <w:rFonts w:ascii="Arial" w:hAnsi="Arial" w:cs="Arial"/>
          <w:sz w:val="24"/>
        </w:rPr>
        <w:t>, which would be indexed for inflation by mirroring cost-of-living increases provided to Social Security beneficiaries.  The amount of a claimant’s net worth would be dete</w:t>
      </w:r>
      <w:r w:rsidR="00D248FD">
        <w:rPr>
          <w:rFonts w:ascii="Arial" w:hAnsi="Arial" w:cs="Arial"/>
          <w:sz w:val="24"/>
        </w:rPr>
        <w:t>rmined by adding the claimant’s</w:t>
      </w:r>
      <w:r w:rsidR="008D14AE">
        <w:rPr>
          <w:rFonts w:ascii="Arial" w:hAnsi="Arial" w:cs="Arial"/>
          <w:sz w:val="24"/>
        </w:rPr>
        <w:t xml:space="preserve"> </w:t>
      </w:r>
      <w:r w:rsidR="00D51723" w:rsidRPr="00D51723">
        <w:rPr>
          <w:rFonts w:ascii="Arial" w:hAnsi="Arial" w:cs="Arial"/>
          <w:sz w:val="24"/>
        </w:rPr>
        <w:t xml:space="preserve">annual income to his or her assets.  VA would calculate the amount of a claimant’s net worth when it receives an original or new pension </w:t>
      </w:r>
      <w:r w:rsidR="00D51723" w:rsidRPr="00D51723">
        <w:rPr>
          <w:rFonts w:ascii="Arial" w:hAnsi="Arial" w:cs="Arial"/>
          <w:sz w:val="24"/>
        </w:rPr>
        <w:lastRenderedPageBreak/>
        <w:t xml:space="preserve">claim; a request to establish a new dependent; or information that net worth has increased or decreased. </w:t>
      </w:r>
    </w:p>
    <w:p w:rsidR="00D51723" w:rsidRDefault="00D51723" w:rsidP="00BB3EC9">
      <w:pPr>
        <w:ind w:left="720"/>
        <w:rPr>
          <w:rFonts w:ascii="Arial" w:hAnsi="Arial" w:cs="Arial"/>
          <w:color w:val="000000"/>
        </w:rPr>
      </w:pPr>
    </w:p>
    <w:p w:rsidR="00DA60C3" w:rsidRDefault="00DA60C3" w:rsidP="000B55E2">
      <w:pPr>
        <w:rPr>
          <w:rFonts w:ascii="Arial" w:hAnsi="Arial" w:cs="Arial"/>
          <w:sz w:val="24"/>
        </w:rPr>
      </w:pPr>
      <w:r>
        <w:rPr>
          <w:rFonts w:ascii="Arial" w:hAnsi="Arial" w:cs="Arial"/>
          <w:sz w:val="24"/>
        </w:rPr>
        <w:t xml:space="preserve">This </w:t>
      </w:r>
      <w:r w:rsidR="00951101">
        <w:rPr>
          <w:rFonts w:ascii="Arial" w:hAnsi="Arial" w:cs="Arial"/>
          <w:sz w:val="24"/>
        </w:rPr>
        <w:t>rulemaking</w:t>
      </w:r>
      <w:r>
        <w:rPr>
          <w:rFonts w:ascii="Arial" w:hAnsi="Arial" w:cs="Arial"/>
          <w:sz w:val="24"/>
        </w:rPr>
        <w:t xml:space="preserve"> </w:t>
      </w:r>
      <w:r w:rsidRPr="00DA60C3">
        <w:rPr>
          <w:rFonts w:ascii="Arial" w:hAnsi="Arial" w:cs="Arial"/>
          <w:sz w:val="24"/>
        </w:rPr>
        <w:t>would</w:t>
      </w:r>
      <w:r>
        <w:rPr>
          <w:rFonts w:ascii="Arial" w:hAnsi="Arial" w:cs="Arial"/>
          <w:sz w:val="24"/>
        </w:rPr>
        <w:t xml:space="preserve"> also</w:t>
      </w:r>
      <w:r w:rsidRPr="00DA60C3">
        <w:rPr>
          <w:rFonts w:ascii="Arial" w:hAnsi="Arial" w:cs="Arial"/>
          <w:sz w:val="24"/>
        </w:rPr>
        <w:t xml:space="preserve"> establish a presumption, absent clear and convincing evidence showing otherwise, that asset t</w:t>
      </w:r>
      <w:r w:rsidR="00F86EEC">
        <w:rPr>
          <w:rFonts w:ascii="Arial" w:hAnsi="Arial" w:cs="Arial"/>
          <w:sz w:val="24"/>
        </w:rPr>
        <w:t>ransfers made during a 36-month</w:t>
      </w:r>
      <w:r w:rsidRPr="00DA60C3">
        <w:rPr>
          <w:rFonts w:ascii="Arial" w:hAnsi="Arial" w:cs="Arial"/>
          <w:sz w:val="24"/>
        </w:rPr>
        <w:t xml:space="preserve"> look-back period were made to establish pension entitlement.  A penalty period, not to exceed 10 years, would be calculated based on the total assets transferred during the look-back period to the extent they would have made net worth excessive.  The penalty period would begin the first day of the month that follows the last asset transfer.</w:t>
      </w:r>
      <w:r>
        <w:rPr>
          <w:rFonts w:ascii="Arial" w:hAnsi="Arial" w:cs="Arial"/>
          <w:sz w:val="24"/>
        </w:rPr>
        <w:t xml:space="preserve">  The applicant would be eligible to receive pension benefits after the penalty period.</w:t>
      </w:r>
    </w:p>
    <w:p w:rsidR="00DA60C3" w:rsidRDefault="00DA60C3" w:rsidP="00DA60C3">
      <w:pPr>
        <w:ind w:left="720"/>
        <w:rPr>
          <w:rFonts w:ascii="Arial" w:hAnsi="Arial" w:cs="Arial"/>
          <w:sz w:val="24"/>
        </w:rPr>
      </w:pPr>
    </w:p>
    <w:p w:rsidR="00DA60C3" w:rsidRDefault="00DA60C3" w:rsidP="0055780E">
      <w:pPr>
        <w:rPr>
          <w:rFonts w:ascii="Arial" w:hAnsi="Arial" w:cs="Arial"/>
          <w:sz w:val="24"/>
        </w:rPr>
      </w:pPr>
      <w:r w:rsidRPr="00135C7B">
        <w:rPr>
          <w:rFonts w:ascii="Arial" w:hAnsi="Arial" w:cs="Arial"/>
          <w:sz w:val="24"/>
        </w:rPr>
        <w:t>In addition, this rulemaking defines and clarifies what VA considers to be a deductible medical expense for all of its needs-based benefits.  It provides that generally, payments to facilities such as independent living facilities are not medical expenses, nor are payments for assistance with</w:t>
      </w:r>
      <w:r w:rsidR="00135C7B" w:rsidRPr="00135C7B">
        <w:rPr>
          <w:rFonts w:ascii="Arial" w:hAnsi="Arial" w:cs="Arial"/>
          <w:sz w:val="24"/>
        </w:rPr>
        <w:t xml:space="preserve"> instrumental activities of daily living</w:t>
      </w:r>
      <w:r w:rsidRPr="00135C7B">
        <w:rPr>
          <w:rFonts w:ascii="Arial" w:hAnsi="Arial" w:cs="Arial"/>
          <w:sz w:val="24"/>
        </w:rPr>
        <w:t>.  However, there would be exceptions for disabled</w:t>
      </w:r>
      <w:r w:rsidR="009E28AC">
        <w:rPr>
          <w:rFonts w:ascii="Arial" w:hAnsi="Arial" w:cs="Arial"/>
          <w:sz w:val="24"/>
        </w:rPr>
        <w:t xml:space="preserve"> individuals who require health</w:t>
      </w:r>
      <w:r w:rsidRPr="00135C7B">
        <w:rPr>
          <w:rFonts w:ascii="Arial" w:hAnsi="Arial" w:cs="Arial"/>
          <w:sz w:val="24"/>
        </w:rPr>
        <w:t xml:space="preserve">care services or custodial care.  The </w:t>
      </w:r>
      <w:r w:rsidR="00951101">
        <w:rPr>
          <w:rFonts w:ascii="Arial" w:hAnsi="Arial" w:cs="Arial"/>
          <w:sz w:val="24"/>
        </w:rPr>
        <w:t>rulemaking</w:t>
      </w:r>
      <w:r w:rsidRPr="00135C7B">
        <w:rPr>
          <w:rFonts w:ascii="Arial" w:hAnsi="Arial" w:cs="Arial"/>
          <w:sz w:val="24"/>
        </w:rPr>
        <w:t xml:space="preserve"> would</w:t>
      </w:r>
      <w:r w:rsidR="00135C7B">
        <w:rPr>
          <w:rFonts w:ascii="Arial" w:hAnsi="Arial" w:cs="Arial"/>
          <w:sz w:val="24"/>
        </w:rPr>
        <w:t xml:space="preserve"> also</w:t>
      </w:r>
      <w:r w:rsidRPr="00135C7B">
        <w:rPr>
          <w:rFonts w:ascii="Arial" w:hAnsi="Arial" w:cs="Arial"/>
          <w:sz w:val="24"/>
        </w:rPr>
        <w:t xml:space="preserve"> place a limit on the hourly payment rate that VA may deduct for in-home attendants.</w:t>
      </w:r>
    </w:p>
    <w:p w:rsidR="00700DA0" w:rsidRDefault="00700DA0" w:rsidP="00135C7B">
      <w:pPr>
        <w:ind w:left="720"/>
        <w:rPr>
          <w:rFonts w:ascii="Arial" w:hAnsi="Arial" w:cs="Arial"/>
          <w:sz w:val="24"/>
        </w:rPr>
      </w:pPr>
    </w:p>
    <w:p w:rsidR="00700DA0" w:rsidRPr="0055780E" w:rsidRDefault="00700DA0" w:rsidP="0055780E">
      <w:pPr>
        <w:pStyle w:val="RS"/>
      </w:pPr>
      <w:r w:rsidRPr="0055780E">
        <w:t>Other changes in the proposed regulation, such as implementing statutory changes pertaining to certain pension beneficiaries who receive Medicaid-covered nursing home care, implementing statutory income exclusions, and implementing a non-statutory income exclusion pertaining to annuities, codify current practice and do not result in additional costs or savings.</w:t>
      </w:r>
    </w:p>
    <w:p w:rsidR="00877BC3" w:rsidRDefault="00877BC3" w:rsidP="00700DA0">
      <w:pPr>
        <w:pStyle w:val="RS"/>
        <w:ind w:left="720"/>
        <w:rPr>
          <w:sz w:val="23"/>
          <w:szCs w:val="23"/>
        </w:rPr>
      </w:pPr>
    </w:p>
    <w:p w:rsidR="00C60966" w:rsidRPr="008B195C" w:rsidRDefault="00D57D07" w:rsidP="00C60966">
      <w:pPr>
        <w:rPr>
          <w:rFonts w:ascii="Arial" w:hAnsi="Arial" w:cs="Arial"/>
          <w:sz w:val="24"/>
          <w:szCs w:val="24"/>
        </w:rPr>
      </w:pPr>
      <w:r w:rsidRPr="009905F7">
        <w:rPr>
          <w:rFonts w:ascii="Arial" w:hAnsi="Arial" w:cs="Arial"/>
          <w:sz w:val="24"/>
          <w:u w:val="single"/>
        </w:rPr>
        <w:t xml:space="preserve">Estimated </w:t>
      </w:r>
      <w:r w:rsidR="0055780E">
        <w:rPr>
          <w:rFonts w:ascii="Arial" w:hAnsi="Arial" w:cs="Arial"/>
          <w:sz w:val="24"/>
          <w:u w:val="single"/>
        </w:rPr>
        <w:t>Impact</w:t>
      </w:r>
      <w:r w:rsidR="0055780E">
        <w:rPr>
          <w:rFonts w:ascii="Arial" w:hAnsi="Arial" w:cs="Arial"/>
          <w:sz w:val="24"/>
        </w:rPr>
        <w:t>.</w:t>
      </w:r>
      <w:r w:rsidRPr="009905F7">
        <w:rPr>
          <w:rFonts w:ascii="Arial" w:hAnsi="Arial" w:cs="Arial"/>
          <w:sz w:val="24"/>
        </w:rPr>
        <w:t xml:space="preserve"> </w:t>
      </w:r>
      <w:r w:rsidR="00F950CD">
        <w:rPr>
          <w:rFonts w:ascii="Arial" w:hAnsi="Arial" w:cs="Arial"/>
          <w:sz w:val="24"/>
        </w:rPr>
        <w:t xml:space="preserve">The </w:t>
      </w:r>
      <w:r w:rsidR="004D6434">
        <w:rPr>
          <w:rFonts w:ascii="Arial" w:hAnsi="Arial" w:cs="Arial"/>
          <w:sz w:val="24"/>
        </w:rPr>
        <w:t xml:space="preserve">proposed </w:t>
      </w:r>
      <w:r w:rsidR="00F950CD">
        <w:rPr>
          <w:rFonts w:ascii="Arial" w:hAnsi="Arial" w:cs="Arial"/>
          <w:sz w:val="24"/>
        </w:rPr>
        <w:t xml:space="preserve">rule </w:t>
      </w:r>
      <w:r w:rsidR="004D6434">
        <w:rPr>
          <w:rFonts w:ascii="Arial" w:hAnsi="Arial" w:cs="Arial"/>
          <w:sz w:val="24"/>
        </w:rPr>
        <w:t>would</w:t>
      </w:r>
      <w:r w:rsidR="00F950CD">
        <w:rPr>
          <w:rFonts w:ascii="Arial" w:hAnsi="Arial" w:cs="Arial"/>
          <w:sz w:val="24"/>
        </w:rPr>
        <w:t xml:space="preserve"> result in net savings to VA; these</w:t>
      </w:r>
      <w:r w:rsidR="00F950CD" w:rsidRPr="009905F7">
        <w:rPr>
          <w:rFonts w:ascii="Arial" w:hAnsi="Arial" w:cs="Arial"/>
          <w:sz w:val="24"/>
        </w:rPr>
        <w:t xml:space="preserve"> </w:t>
      </w:r>
      <w:r w:rsidR="00C60966" w:rsidRPr="009905F7">
        <w:rPr>
          <w:rFonts w:ascii="Arial" w:hAnsi="Arial" w:cs="Arial"/>
          <w:sz w:val="24"/>
        </w:rPr>
        <w:t>savings are estimated to be $</w:t>
      </w:r>
      <w:r w:rsidR="00C60966">
        <w:rPr>
          <w:rFonts w:ascii="Arial" w:hAnsi="Arial" w:cs="Arial"/>
          <w:sz w:val="24"/>
        </w:rPr>
        <w:t xml:space="preserve">19.3 million in 2016 </w:t>
      </w:r>
      <w:r w:rsidR="00C60966" w:rsidRPr="009905F7">
        <w:rPr>
          <w:rFonts w:ascii="Arial" w:hAnsi="Arial" w:cs="Arial"/>
          <w:sz w:val="24"/>
        </w:rPr>
        <w:t>and $</w:t>
      </w:r>
      <w:r w:rsidR="00C60966">
        <w:rPr>
          <w:rFonts w:ascii="Arial" w:hAnsi="Arial" w:cs="Arial"/>
          <w:sz w:val="24"/>
        </w:rPr>
        <w:t>254.5</w:t>
      </w:r>
      <w:r w:rsidR="00C60966" w:rsidRPr="009905F7">
        <w:rPr>
          <w:rFonts w:ascii="Arial" w:hAnsi="Arial" w:cs="Arial"/>
          <w:sz w:val="24"/>
        </w:rPr>
        <w:t xml:space="preserve"> </w:t>
      </w:r>
      <w:r w:rsidR="00C60966">
        <w:rPr>
          <w:rFonts w:ascii="Arial" w:hAnsi="Arial" w:cs="Arial"/>
          <w:sz w:val="24"/>
        </w:rPr>
        <w:t>million</w:t>
      </w:r>
      <w:r w:rsidR="00C60966" w:rsidRPr="009905F7">
        <w:rPr>
          <w:rFonts w:ascii="Arial" w:hAnsi="Arial" w:cs="Arial"/>
          <w:sz w:val="24"/>
        </w:rPr>
        <w:t xml:space="preserve"> for five years</w:t>
      </w:r>
      <w:r w:rsidR="00C60966">
        <w:rPr>
          <w:rFonts w:ascii="Arial" w:hAnsi="Arial" w:cs="Arial"/>
          <w:sz w:val="24"/>
        </w:rPr>
        <w:t>.</w:t>
      </w:r>
      <w:r w:rsidR="002F43A7">
        <w:rPr>
          <w:rFonts w:ascii="Arial" w:hAnsi="Arial" w:cs="Arial"/>
          <w:sz w:val="24"/>
        </w:rPr>
        <w:t xml:space="preserve">  In the context of a cost-benefit analysis, these </w:t>
      </w:r>
      <w:r w:rsidR="007E2BE9">
        <w:rPr>
          <w:rFonts w:ascii="Arial" w:hAnsi="Arial" w:cs="Arial"/>
          <w:sz w:val="24"/>
        </w:rPr>
        <w:t>imp</w:t>
      </w:r>
      <w:r w:rsidR="00D67310">
        <w:rPr>
          <w:rFonts w:ascii="Arial" w:hAnsi="Arial" w:cs="Arial"/>
          <w:sz w:val="24"/>
        </w:rPr>
        <w:t>a</w:t>
      </w:r>
      <w:r w:rsidR="007E2BE9">
        <w:rPr>
          <w:rFonts w:ascii="Arial" w:hAnsi="Arial" w:cs="Arial"/>
          <w:sz w:val="24"/>
        </w:rPr>
        <w:t>cts (referred to in the remainder of this document as “costs” or “savings”)</w:t>
      </w:r>
      <w:r w:rsidR="002F43A7">
        <w:rPr>
          <w:rFonts w:ascii="Arial" w:hAnsi="Arial" w:cs="Arial"/>
          <w:sz w:val="24"/>
        </w:rPr>
        <w:t xml:space="preserve"> are categorized as transfer</w:t>
      </w:r>
      <w:r w:rsidR="007E2BE9">
        <w:rPr>
          <w:rFonts w:ascii="Arial" w:hAnsi="Arial" w:cs="Arial"/>
          <w:sz w:val="24"/>
        </w:rPr>
        <w:t>s</w:t>
      </w:r>
      <w:r w:rsidR="002F43A7">
        <w:rPr>
          <w:rFonts w:ascii="Arial" w:hAnsi="Arial" w:cs="Arial"/>
          <w:sz w:val="24"/>
        </w:rPr>
        <w:t>.  On net, the projected transfer is from Veterans and survivors to VA, but there are some cases in which the opposite holds.  Although rule-induced transfer</w:t>
      </w:r>
      <w:r w:rsidR="005B12A6">
        <w:rPr>
          <w:rFonts w:ascii="Arial" w:hAnsi="Arial" w:cs="Arial"/>
          <w:sz w:val="24"/>
        </w:rPr>
        <w:t>s</w:t>
      </w:r>
      <w:r w:rsidR="002F43A7">
        <w:rPr>
          <w:rFonts w:ascii="Arial" w:hAnsi="Arial" w:cs="Arial"/>
          <w:sz w:val="24"/>
        </w:rPr>
        <w:t xml:space="preserve"> create incentives that may cause changes in the way society uses its resource</w:t>
      </w:r>
      <w:r w:rsidR="005B12A6">
        <w:rPr>
          <w:rFonts w:ascii="Arial" w:hAnsi="Arial" w:cs="Arial"/>
          <w:sz w:val="24"/>
        </w:rPr>
        <w:t>s</w:t>
      </w:r>
      <w:r w:rsidR="002F43A7">
        <w:rPr>
          <w:rFonts w:ascii="Arial" w:hAnsi="Arial" w:cs="Arial"/>
          <w:sz w:val="24"/>
        </w:rPr>
        <w:t>, lack</w:t>
      </w:r>
      <w:r w:rsidR="005B12A6">
        <w:rPr>
          <w:rFonts w:ascii="Arial" w:hAnsi="Arial" w:cs="Arial"/>
          <w:sz w:val="24"/>
        </w:rPr>
        <w:t xml:space="preserve"> of</w:t>
      </w:r>
      <w:r w:rsidR="002F43A7">
        <w:rPr>
          <w:rFonts w:ascii="Arial" w:hAnsi="Arial" w:cs="Arial"/>
          <w:sz w:val="24"/>
        </w:rPr>
        <w:t xml:space="preserve"> data </w:t>
      </w:r>
      <w:r w:rsidR="005B12A6">
        <w:rPr>
          <w:rFonts w:ascii="Arial" w:hAnsi="Arial" w:cs="Arial"/>
          <w:sz w:val="24"/>
        </w:rPr>
        <w:t>has prevented estimation of</w:t>
      </w:r>
      <w:r w:rsidR="002F43A7">
        <w:rPr>
          <w:rFonts w:ascii="Arial" w:hAnsi="Arial" w:cs="Arial"/>
          <w:sz w:val="24"/>
        </w:rPr>
        <w:t xml:space="preserve"> the resulting social costs </w:t>
      </w:r>
      <w:r w:rsidR="00D67310">
        <w:rPr>
          <w:rFonts w:ascii="Arial" w:hAnsi="Arial" w:cs="Arial"/>
          <w:sz w:val="24"/>
        </w:rPr>
        <w:t>or</w:t>
      </w:r>
      <w:r w:rsidR="002F43A7">
        <w:rPr>
          <w:rFonts w:ascii="Arial" w:hAnsi="Arial" w:cs="Arial"/>
          <w:sz w:val="24"/>
        </w:rPr>
        <w:t xml:space="preserve"> benefits.</w:t>
      </w:r>
    </w:p>
    <w:p w:rsidR="00C60966" w:rsidRPr="00C97D71" w:rsidRDefault="00C60966" w:rsidP="00C60966">
      <w:pPr>
        <w:ind w:left="720"/>
        <w:rPr>
          <w:rFonts w:ascii="Arial" w:hAnsi="Arial" w:cs="Arial"/>
          <w:sz w:val="24"/>
          <w:szCs w:val="24"/>
        </w:rPr>
      </w:pPr>
    </w:p>
    <w:tbl>
      <w:tblPr>
        <w:tblW w:w="6080" w:type="dxa"/>
        <w:jc w:val="center"/>
        <w:tblLook w:val="04A0" w:firstRow="1" w:lastRow="0" w:firstColumn="1" w:lastColumn="0" w:noHBand="0" w:noVBand="1"/>
      </w:tblPr>
      <w:tblGrid>
        <w:gridCol w:w="1500"/>
        <w:gridCol w:w="1570"/>
        <w:gridCol w:w="1530"/>
        <w:gridCol w:w="1480"/>
      </w:tblGrid>
      <w:tr w:rsidR="00C60966" w:rsidRPr="008B195C" w:rsidTr="00CB067D">
        <w:trPr>
          <w:trHeight w:val="520"/>
          <w:jc w:val="center"/>
        </w:trPr>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b/>
                <w:bCs/>
                <w:color w:val="000000"/>
                <w:sz w:val="22"/>
                <w:szCs w:val="22"/>
              </w:rPr>
            </w:pPr>
            <w:r w:rsidRPr="008B195C">
              <w:rPr>
                <w:rFonts w:ascii="Arial" w:hAnsi="Arial" w:cs="Arial"/>
                <w:b/>
                <w:bCs/>
                <w:color w:val="000000"/>
                <w:sz w:val="22"/>
                <w:szCs w:val="22"/>
              </w:rPr>
              <w:t>Fiscal Year</w:t>
            </w:r>
          </w:p>
        </w:tc>
        <w:tc>
          <w:tcPr>
            <w:tcW w:w="1570" w:type="dxa"/>
            <w:tcBorders>
              <w:top w:val="single" w:sz="8" w:space="0" w:color="auto"/>
              <w:left w:val="nil"/>
              <w:bottom w:val="single" w:sz="8" w:space="0" w:color="auto"/>
              <w:right w:val="single" w:sz="8" w:space="0" w:color="auto"/>
            </w:tcBorders>
            <w:shd w:val="clear" w:color="auto" w:fill="auto"/>
            <w:vAlign w:val="center"/>
            <w:hideMark/>
          </w:tcPr>
          <w:p w:rsidR="00C60966" w:rsidRPr="008B195C" w:rsidRDefault="00C60966" w:rsidP="00CB067D">
            <w:pPr>
              <w:jc w:val="center"/>
              <w:rPr>
                <w:rFonts w:ascii="Arial" w:hAnsi="Arial" w:cs="Arial"/>
                <w:b/>
                <w:bCs/>
                <w:color w:val="000000"/>
                <w:sz w:val="22"/>
                <w:szCs w:val="22"/>
              </w:rPr>
            </w:pPr>
            <w:r w:rsidRPr="008B195C">
              <w:rPr>
                <w:rFonts w:ascii="Arial" w:hAnsi="Arial" w:cs="Arial"/>
                <w:b/>
                <w:bCs/>
                <w:color w:val="000000"/>
                <w:sz w:val="22"/>
                <w:szCs w:val="22"/>
              </w:rPr>
              <w:t>Caseload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C60966" w:rsidRPr="008B195C" w:rsidRDefault="00C60966" w:rsidP="00CB067D">
            <w:pPr>
              <w:jc w:val="center"/>
              <w:rPr>
                <w:rFonts w:ascii="Arial" w:hAnsi="Arial" w:cs="Arial"/>
                <w:b/>
                <w:bCs/>
                <w:color w:val="000000"/>
                <w:sz w:val="22"/>
                <w:szCs w:val="22"/>
              </w:rPr>
            </w:pPr>
            <w:r w:rsidRPr="008B195C">
              <w:rPr>
                <w:rFonts w:ascii="Arial" w:hAnsi="Arial" w:cs="Arial"/>
                <w:b/>
                <w:bCs/>
                <w:color w:val="000000"/>
                <w:sz w:val="22"/>
                <w:szCs w:val="22"/>
              </w:rPr>
              <w:t>Caseload (-)</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C60966" w:rsidRPr="008B195C" w:rsidRDefault="00C60966" w:rsidP="00CB067D">
            <w:pPr>
              <w:jc w:val="center"/>
              <w:rPr>
                <w:rFonts w:ascii="Arial" w:hAnsi="Arial" w:cs="Arial"/>
                <w:b/>
                <w:bCs/>
                <w:color w:val="000000"/>
                <w:sz w:val="22"/>
                <w:szCs w:val="22"/>
              </w:rPr>
            </w:pPr>
            <w:r w:rsidRPr="008B195C">
              <w:rPr>
                <w:rFonts w:ascii="Arial" w:hAnsi="Arial" w:cs="Arial"/>
                <w:b/>
                <w:bCs/>
                <w:color w:val="000000"/>
                <w:sz w:val="22"/>
                <w:szCs w:val="22"/>
              </w:rPr>
              <w:t>Net Savings</w:t>
            </w:r>
            <w:r w:rsidRPr="008B195C">
              <w:rPr>
                <w:rFonts w:ascii="Arial" w:hAnsi="Arial" w:cs="Arial"/>
                <w:b/>
                <w:bCs/>
                <w:color w:val="000000"/>
                <w:sz w:val="22"/>
                <w:szCs w:val="22"/>
              </w:rPr>
              <w:br/>
              <w:t>($000)</w:t>
            </w:r>
          </w:p>
        </w:tc>
      </w:tr>
      <w:tr w:rsidR="00C60966" w:rsidRPr="008B195C" w:rsidTr="00CB067D">
        <w:trPr>
          <w:trHeight w:val="315"/>
          <w:jc w:val="center"/>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2016</w:t>
            </w:r>
          </w:p>
        </w:tc>
        <w:tc>
          <w:tcPr>
            <w:tcW w:w="157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1,175</w:t>
            </w:r>
          </w:p>
        </w:tc>
        <w:tc>
          <w:tcPr>
            <w:tcW w:w="153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(2,784)</w:t>
            </w:r>
          </w:p>
        </w:tc>
        <w:tc>
          <w:tcPr>
            <w:tcW w:w="148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8B195C">
              <w:rPr>
                <w:rFonts w:ascii="Arial" w:hAnsi="Arial" w:cs="Arial"/>
                <w:color w:val="000000"/>
                <w:sz w:val="22"/>
                <w:szCs w:val="22"/>
              </w:rPr>
              <w:t>($19,312)</w:t>
            </w:r>
          </w:p>
        </w:tc>
      </w:tr>
      <w:tr w:rsidR="00C60966" w:rsidRPr="008B195C" w:rsidTr="00CB067D">
        <w:trPr>
          <w:trHeight w:val="315"/>
          <w:jc w:val="center"/>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2017</w:t>
            </w:r>
          </w:p>
        </w:tc>
        <w:tc>
          <w:tcPr>
            <w:tcW w:w="157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2,150</w:t>
            </w:r>
          </w:p>
        </w:tc>
        <w:tc>
          <w:tcPr>
            <w:tcW w:w="153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(5,106)</w:t>
            </w:r>
          </w:p>
        </w:tc>
        <w:tc>
          <w:tcPr>
            <w:tcW w:w="148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8B195C">
              <w:rPr>
                <w:rFonts w:ascii="Arial" w:hAnsi="Arial" w:cs="Arial"/>
                <w:color w:val="000000"/>
                <w:sz w:val="22"/>
                <w:szCs w:val="22"/>
              </w:rPr>
              <w:t>($37,801)</w:t>
            </w:r>
          </w:p>
        </w:tc>
      </w:tr>
      <w:tr w:rsidR="00C60966" w:rsidRPr="008B195C" w:rsidTr="00CB067D">
        <w:trPr>
          <w:trHeight w:val="315"/>
          <w:jc w:val="center"/>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2018</w:t>
            </w:r>
          </w:p>
        </w:tc>
        <w:tc>
          <w:tcPr>
            <w:tcW w:w="157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2,963</w:t>
            </w:r>
          </w:p>
        </w:tc>
        <w:tc>
          <w:tcPr>
            <w:tcW w:w="153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(7,048)</w:t>
            </w:r>
          </w:p>
        </w:tc>
        <w:tc>
          <w:tcPr>
            <w:tcW w:w="148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8B195C">
              <w:rPr>
                <w:rFonts w:ascii="Arial" w:hAnsi="Arial" w:cs="Arial"/>
                <w:color w:val="000000"/>
                <w:sz w:val="22"/>
                <w:szCs w:val="22"/>
              </w:rPr>
              <w:t>($55,728)</w:t>
            </w:r>
          </w:p>
        </w:tc>
      </w:tr>
      <w:tr w:rsidR="00C60966" w:rsidRPr="008B195C" w:rsidTr="00CB067D">
        <w:trPr>
          <w:trHeight w:val="315"/>
          <w:jc w:val="center"/>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2019</w:t>
            </w:r>
          </w:p>
        </w:tc>
        <w:tc>
          <w:tcPr>
            <w:tcW w:w="157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3,640</w:t>
            </w:r>
          </w:p>
        </w:tc>
        <w:tc>
          <w:tcPr>
            <w:tcW w:w="153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(8,150)</w:t>
            </w:r>
          </w:p>
        </w:tc>
        <w:tc>
          <w:tcPr>
            <w:tcW w:w="148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8B195C">
              <w:rPr>
                <w:rFonts w:ascii="Arial" w:hAnsi="Arial" w:cs="Arial"/>
                <w:color w:val="000000"/>
                <w:sz w:val="22"/>
                <w:szCs w:val="22"/>
              </w:rPr>
              <w:t>($65,727)</w:t>
            </w:r>
          </w:p>
        </w:tc>
      </w:tr>
      <w:tr w:rsidR="00C60966" w:rsidRPr="008B195C" w:rsidTr="00CB067D">
        <w:trPr>
          <w:trHeight w:val="315"/>
          <w:jc w:val="center"/>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2020</w:t>
            </w:r>
          </w:p>
        </w:tc>
        <w:tc>
          <w:tcPr>
            <w:tcW w:w="157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4,206</w:t>
            </w:r>
          </w:p>
        </w:tc>
        <w:tc>
          <w:tcPr>
            <w:tcW w:w="153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sidRPr="008B195C">
              <w:rPr>
                <w:rFonts w:ascii="Arial" w:hAnsi="Arial" w:cs="Arial"/>
                <w:color w:val="000000"/>
                <w:sz w:val="22"/>
                <w:szCs w:val="22"/>
              </w:rPr>
              <w:t>(9,077)</w:t>
            </w:r>
          </w:p>
        </w:tc>
        <w:tc>
          <w:tcPr>
            <w:tcW w:w="148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8B195C">
              <w:rPr>
                <w:rFonts w:ascii="Arial" w:hAnsi="Arial" w:cs="Arial"/>
                <w:color w:val="000000"/>
                <w:sz w:val="22"/>
                <w:szCs w:val="22"/>
              </w:rPr>
              <w:t>($75,886)</w:t>
            </w:r>
          </w:p>
        </w:tc>
      </w:tr>
      <w:tr w:rsidR="00C60966" w:rsidRPr="008B195C" w:rsidTr="00CB067D">
        <w:trPr>
          <w:trHeight w:val="315"/>
          <w:jc w:val="center"/>
        </w:trPr>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b/>
                <w:bCs/>
                <w:color w:val="000000"/>
                <w:sz w:val="22"/>
                <w:szCs w:val="22"/>
              </w:rPr>
            </w:pPr>
            <w:r w:rsidRPr="008B195C">
              <w:rPr>
                <w:rFonts w:ascii="Arial" w:hAnsi="Arial" w:cs="Arial"/>
                <w:b/>
                <w:bCs/>
                <w:color w:val="000000"/>
                <w:sz w:val="22"/>
                <w:szCs w:val="22"/>
              </w:rPr>
              <w:t>5-Year Total</w:t>
            </w:r>
          </w:p>
        </w:tc>
        <w:tc>
          <w:tcPr>
            <w:tcW w:w="1570" w:type="dxa"/>
            <w:tcBorders>
              <w:top w:val="nil"/>
              <w:left w:val="nil"/>
              <w:bottom w:val="single" w:sz="8" w:space="0" w:color="auto"/>
              <w:right w:val="single" w:sz="8" w:space="0" w:color="auto"/>
            </w:tcBorders>
            <w:shd w:val="clear" w:color="auto" w:fill="auto"/>
            <w:noWrap/>
            <w:vAlign w:val="bottom"/>
            <w:hideMark/>
          </w:tcPr>
          <w:p w:rsidR="00C60966" w:rsidRPr="008B195C" w:rsidRDefault="00C60966" w:rsidP="00CB067D">
            <w:pPr>
              <w:rPr>
                <w:color w:val="000000"/>
              </w:rPr>
            </w:pPr>
            <w:r w:rsidRPr="008B195C">
              <w:rPr>
                <w:color w:val="000000"/>
              </w:rPr>
              <w:t> </w:t>
            </w:r>
          </w:p>
        </w:tc>
        <w:tc>
          <w:tcPr>
            <w:tcW w:w="1530" w:type="dxa"/>
            <w:tcBorders>
              <w:top w:val="nil"/>
              <w:left w:val="nil"/>
              <w:bottom w:val="single" w:sz="8" w:space="0" w:color="auto"/>
              <w:right w:val="single" w:sz="8" w:space="0" w:color="auto"/>
            </w:tcBorders>
            <w:shd w:val="clear" w:color="auto" w:fill="auto"/>
            <w:noWrap/>
            <w:vAlign w:val="bottom"/>
            <w:hideMark/>
          </w:tcPr>
          <w:p w:rsidR="00C60966" w:rsidRPr="008B195C" w:rsidRDefault="00C60966" w:rsidP="00CB067D">
            <w:pPr>
              <w:rPr>
                <w:color w:val="000000"/>
              </w:rPr>
            </w:pPr>
            <w:r w:rsidRPr="008B195C">
              <w:rPr>
                <w:color w:val="000000"/>
              </w:rPr>
              <w:t> </w:t>
            </w:r>
          </w:p>
        </w:tc>
        <w:tc>
          <w:tcPr>
            <w:tcW w:w="1480" w:type="dxa"/>
            <w:tcBorders>
              <w:top w:val="nil"/>
              <w:left w:val="nil"/>
              <w:bottom w:val="single" w:sz="8" w:space="0" w:color="auto"/>
              <w:right w:val="single" w:sz="8" w:space="0" w:color="auto"/>
            </w:tcBorders>
            <w:shd w:val="clear" w:color="auto" w:fill="auto"/>
            <w:noWrap/>
            <w:vAlign w:val="center"/>
            <w:hideMark/>
          </w:tcPr>
          <w:p w:rsidR="00C60966" w:rsidRPr="008B195C" w:rsidRDefault="00C60966" w:rsidP="00CB067D">
            <w:pPr>
              <w:jc w:val="center"/>
              <w:rPr>
                <w:rFonts w:ascii="Arial" w:hAnsi="Arial" w:cs="Arial"/>
                <w:b/>
                <w:bCs/>
                <w:color w:val="000000"/>
                <w:sz w:val="22"/>
                <w:szCs w:val="22"/>
              </w:rPr>
            </w:pPr>
            <w:r w:rsidRPr="008B195C">
              <w:rPr>
                <w:rFonts w:ascii="Arial" w:hAnsi="Arial" w:cs="Arial"/>
                <w:b/>
                <w:bCs/>
                <w:color w:val="000000"/>
                <w:sz w:val="22"/>
                <w:szCs w:val="22"/>
              </w:rPr>
              <w:t>($254,454)</w:t>
            </w:r>
          </w:p>
        </w:tc>
      </w:tr>
    </w:tbl>
    <w:p w:rsidR="00C60966" w:rsidRPr="00700DA0" w:rsidRDefault="00C60966" w:rsidP="00C60966">
      <w:pPr>
        <w:rPr>
          <w:rFonts w:ascii="Arial" w:hAnsi="Arial" w:cs="Arial"/>
          <w:sz w:val="24"/>
        </w:rPr>
      </w:pPr>
    </w:p>
    <w:p w:rsidR="00FA6F4E" w:rsidRDefault="009E3068" w:rsidP="00571535">
      <w:pPr>
        <w:rPr>
          <w:rFonts w:ascii="Arial" w:hAnsi="Arial" w:cs="Arial"/>
          <w:sz w:val="24"/>
        </w:rPr>
      </w:pPr>
      <w:r w:rsidRPr="009E3068">
        <w:rPr>
          <w:rFonts w:ascii="Arial" w:hAnsi="Arial" w:cs="Arial"/>
          <w:b/>
          <w:sz w:val="24"/>
        </w:rPr>
        <w:lastRenderedPageBreak/>
        <w:t>Assumptions and Methodology of the Analysis</w:t>
      </w:r>
      <w:r>
        <w:rPr>
          <w:rFonts w:ascii="Arial" w:hAnsi="Arial" w:cs="Arial"/>
          <w:sz w:val="24"/>
        </w:rPr>
        <w:t xml:space="preserve">:  </w:t>
      </w:r>
      <w:r w:rsidR="00C9664F">
        <w:rPr>
          <w:rFonts w:ascii="Arial" w:hAnsi="Arial" w:cs="Arial"/>
          <w:sz w:val="24"/>
        </w:rPr>
        <w:t>This rulemaking makes</w:t>
      </w:r>
      <w:r w:rsidR="00AF5732">
        <w:rPr>
          <w:rFonts w:ascii="Arial" w:hAnsi="Arial" w:cs="Arial"/>
          <w:sz w:val="24"/>
        </w:rPr>
        <w:t xml:space="preserve"> three distinct</w:t>
      </w:r>
      <w:r w:rsidR="00C9664F">
        <w:rPr>
          <w:rFonts w:ascii="Arial" w:hAnsi="Arial" w:cs="Arial"/>
          <w:sz w:val="24"/>
        </w:rPr>
        <w:t xml:space="preserve"> changes </w:t>
      </w:r>
      <w:r>
        <w:rPr>
          <w:rFonts w:ascii="Arial" w:hAnsi="Arial" w:cs="Arial"/>
          <w:sz w:val="24"/>
        </w:rPr>
        <w:t xml:space="preserve">to </w:t>
      </w:r>
      <w:r w:rsidR="00AF5732">
        <w:rPr>
          <w:rFonts w:ascii="Arial" w:hAnsi="Arial" w:cs="Arial"/>
          <w:sz w:val="24"/>
        </w:rPr>
        <w:t>current regulations that affec</w:t>
      </w:r>
      <w:r w:rsidR="00C60966">
        <w:rPr>
          <w:rFonts w:ascii="Arial" w:hAnsi="Arial" w:cs="Arial"/>
          <w:sz w:val="24"/>
        </w:rPr>
        <w:t>t eligibil</w:t>
      </w:r>
      <w:r w:rsidR="009E28AC">
        <w:rPr>
          <w:rFonts w:ascii="Arial" w:hAnsi="Arial" w:cs="Arial"/>
          <w:sz w:val="24"/>
        </w:rPr>
        <w:t>ity for Veterans and survivors p</w:t>
      </w:r>
      <w:r w:rsidR="00AF5732">
        <w:rPr>
          <w:rFonts w:ascii="Arial" w:hAnsi="Arial" w:cs="Arial"/>
          <w:sz w:val="24"/>
        </w:rPr>
        <w:t xml:space="preserve">ension benefits and their respective payments. </w:t>
      </w:r>
      <w:r w:rsidR="007770FF">
        <w:rPr>
          <w:rFonts w:ascii="Arial" w:hAnsi="Arial" w:cs="Arial"/>
          <w:sz w:val="24"/>
        </w:rPr>
        <w:t xml:space="preserve"> </w:t>
      </w:r>
      <w:r w:rsidR="00AF5732">
        <w:rPr>
          <w:rFonts w:ascii="Arial" w:hAnsi="Arial" w:cs="Arial"/>
          <w:sz w:val="24"/>
        </w:rPr>
        <w:t xml:space="preserve">The costs and savings </w:t>
      </w:r>
      <w:r w:rsidR="00F950CD">
        <w:rPr>
          <w:rFonts w:ascii="Arial" w:hAnsi="Arial" w:cs="Arial"/>
          <w:sz w:val="24"/>
        </w:rPr>
        <w:t xml:space="preserve">(to VA) </w:t>
      </w:r>
      <w:r w:rsidR="00AF5732">
        <w:rPr>
          <w:rFonts w:ascii="Arial" w:hAnsi="Arial" w:cs="Arial"/>
          <w:sz w:val="24"/>
        </w:rPr>
        <w:t>of these changes are individually detailed</w:t>
      </w:r>
      <w:r w:rsidR="009905F7">
        <w:rPr>
          <w:rFonts w:ascii="Arial" w:hAnsi="Arial" w:cs="Arial"/>
          <w:sz w:val="24"/>
        </w:rPr>
        <w:t xml:space="preserve"> </w:t>
      </w:r>
      <w:r w:rsidR="00AF5732">
        <w:rPr>
          <w:rFonts w:ascii="Arial" w:hAnsi="Arial" w:cs="Arial"/>
          <w:sz w:val="24"/>
        </w:rPr>
        <w:t>below.</w:t>
      </w:r>
      <w:r w:rsidR="009905F7">
        <w:rPr>
          <w:rFonts w:ascii="Arial" w:hAnsi="Arial" w:cs="Arial"/>
          <w:sz w:val="24"/>
        </w:rPr>
        <w:t xml:space="preserve"> </w:t>
      </w:r>
      <w:r w:rsidR="007770FF">
        <w:rPr>
          <w:rFonts w:ascii="Arial" w:hAnsi="Arial" w:cs="Arial"/>
          <w:sz w:val="24"/>
        </w:rPr>
        <w:t xml:space="preserve"> </w:t>
      </w:r>
      <w:r w:rsidR="009905F7">
        <w:rPr>
          <w:rFonts w:ascii="Arial" w:hAnsi="Arial" w:cs="Arial"/>
          <w:sz w:val="24"/>
        </w:rPr>
        <w:t xml:space="preserve">The combined impact of these </w:t>
      </w:r>
      <w:r w:rsidR="00AF5732">
        <w:rPr>
          <w:rFonts w:ascii="Arial" w:hAnsi="Arial" w:cs="Arial"/>
          <w:sz w:val="24"/>
        </w:rPr>
        <w:t>changes</w:t>
      </w:r>
      <w:r w:rsidR="009905F7">
        <w:rPr>
          <w:rFonts w:ascii="Arial" w:hAnsi="Arial" w:cs="Arial"/>
          <w:sz w:val="24"/>
        </w:rPr>
        <w:t xml:space="preserve"> is shown in the table above.</w:t>
      </w:r>
      <w:r w:rsidR="00AC1CCF">
        <w:rPr>
          <w:rFonts w:ascii="Arial" w:hAnsi="Arial" w:cs="Arial"/>
          <w:sz w:val="24"/>
        </w:rPr>
        <w:t xml:space="preserve">  For purposes of this cost estimate, an effective date of October 1, 2015</w:t>
      </w:r>
      <w:r w:rsidR="000B55E2">
        <w:rPr>
          <w:rFonts w:ascii="Arial" w:hAnsi="Arial" w:cs="Arial"/>
          <w:sz w:val="24"/>
        </w:rPr>
        <w:t>,</w:t>
      </w:r>
      <w:r w:rsidR="00AC1CCF">
        <w:rPr>
          <w:rFonts w:ascii="Arial" w:hAnsi="Arial" w:cs="Arial"/>
          <w:sz w:val="24"/>
        </w:rPr>
        <w:t xml:space="preserve"> was assumed.</w:t>
      </w:r>
    </w:p>
    <w:p w:rsidR="00874560" w:rsidRDefault="00874560" w:rsidP="00874560">
      <w:pPr>
        <w:rPr>
          <w:rFonts w:ascii="Arial" w:hAnsi="Arial" w:cs="Arial"/>
          <w:sz w:val="24"/>
        </w:rPr>
      </w:pPr>
    </w:p>
    <w:p w:rsidR="00874560" w:rsidRPr="00874560" w:rsidRDefault="00AF5732" w:rsidP="00571535">
      <w:pPr>
        <w:ind w:left="360"/>
        <w:rPr>
          <w:rFonts w:ascii="Arial" w:hAnsi="Arial" w:cs="Arial"/>
          <w:sz w:val="24"/>
          <w:u w:val="single"/>
        </w:rPr>
      </w:pPr>
      <w:r>
        <w:rPr>
          <w:rFonts w:ascii="Arial" w:hAnsi="Arial" w:cs="Arial"/>
          <w:sz w:val="24"/>
          <w:u w:val="single"/>
        </w:rPr>
        <w:t>Establishment of a Net Worth Limit for Pension Benefits</w:t>
      </w:r>
    </w:p>
    <w:p w:rsidR="007605EE" w:rsidRDefault="007605EE" w:rsidP="00571535">
      <w:pPr>
        <w:pStyle w:val="ListParagraph"/>
        <w:ind w:left="360"/>
        <w:rPr>
          <w:rFonts w:ascii="Arial" w:hAnsi="Arial" w:cs="Arial"/>
          <w:sz w:val="24"/>
        </w:rPr>
      </w:pPr>
    </w:p>
    <w:p w:rsidR="00C60966" w:rsidRDefault="00AF5732" w:rsidP="00C60966">
      <w:pPr>
        <w:pStyle w:val="ListParagraph"/>
        <w:ind w:left="360"/>
        <w:rPr>
          <w:rFonts w:ascii="Arial" w:hAnsi="Arial" w:cs="Arial"/>
          <w:sz w:val="24"/>
        </w:rPr>
      </w:pPr>
      <w:r>
        <w:rPr>
          <w:rFonts w:ascii="Arial" w:hAnsi="Arial" w:cs="Arial"/>
          <w:sz w:val="24"/>
        </w:rPr>
        <w:t>As described above</w:t>
      </w:r>
      <w:r w:rsidR="009E3068">
        <w:rPr>
          <w:rFonts w:ascii="Arial" w:hAnsi="Arial" w:cs="Arial"/>
          <w:sz w:val="24"/>
        </w:rPr>
        <w:t>,</w:t>
      </w:r>
      <w:r>
        <w:rPr>
          <w:rFonts w:ascii="Arial" w:hAnsi="Arial" w:cs="Arial"/>
          <w:sz w:val="24"/>
        </w:rPr>
        <w:t xml:space="preserve"> this regulation establishes a cur</w:t>
      </w:r>
      <w:r w:rsidR="007B723A">
        <w:rPr>
          <w:rFonts w:ascii="Arial" w:hAnsi="Arial" w:cs="Arial"/>
          <w:sz w:val="24"/>
        </w:rPr>
        <w:t>rent net worth limit of $119,220</w:t>
      </w:r>
      <w:r>
        <w:rPr>
          <w:rFonts w:ascii="Arial" w:hAnsi="Arial" w:cs="Arial"/>
          <w:sz w:val="24"/>
        </w:rPr>
        <w:t xml:space="preserve"> to be </w:t>
      </w:r>
      <w:r w:rsidRPr="00D51723">
        <w:rPr>
          <w:rFonts w:ascii="Arial" w:hAnsi="Arial" w:cs="Arial"/>
          <w:sz w:val="24"/>
        </w:rPr>
        <w:t>indexed for inflation</w:t>
      </w:r>
      <w:r w:rsidR="009E28AC">
        <w:rPr>
          <w:rFonts w:ascii="Arial" w:hAnsi="Arial" w:cs="Arial"/>
          <w:sz w:val="24"/>
        </w:rPr>
        <w:t xml:space="preserve"> based on Social Security b</w:t>
      </w:r>
      <w:r>
        <w:rPr>
          <w:rFonts w:ascii="Arial" w:hAnsi="Arial" w:cs="Arial"/>
          <w:sz w:val="24"/>
        </w:rPr>
        <w:t xml:space="preserve">enefits.  </w:t>
      </w:r>
      <w:r w:rsidR="00C60966">
        <w:rPr>
          <w:rFonts w:ascii="Arial" w:hAnsi="Arial" w:cs="Arial"/>
          <w:sz w:val="24"/>
        </w:rPr>
        <w:t xml:space="preserve">Data provided by the Veterans Benefits Administration (VBA) Office of </w:t>
      </w:r>
      <w:bookmarkStart w:id="0" w:name="_GoBack"/>
      <w:bookmarkEnd w:id="0"/>
      <w:r w:rsidR="00C60966" w:rsidRPr="009227E9">
        <w:rPr>
          <w:rFonts w:ascii="Arial" w:hAnsi="Arial" w:cs="Arial"/>
          <w:sz w:val="24"/>
          <w:highlight w:val="yellow"/>
        </w:rPr>
        <w:t>Performance Analysis and Integrity indicates that, in FY 2014, there were 40 pension applicants (9 Veterans, 31 survivors) awarded benefits whose net worth excee</w:t>
      </w:r>
      <w:r w:rsidR="009E28AC" w:rsidRPr="009227E9">
        <w:rPr>
          <w:rFonts w:ascii="Arial" w:hAnsi="Arial" w:cs="Arial"/>
          <w:sz w:val="24"/>
          <w:highlight w:val="yellow"/>
        </w:rPr>
        <w:t>ded the proposed net worth limit</w:t>
      </w:r>
      <w:r w:rsidR="00C60966" w:rsidRPr="009227E9">
        <w:rPr>
          <w:rFonts w:ascii="Arial" w:hAnsi="Arial" w:cs="Arial"/>
          <w:sz w:val="24"/>
          <w:highlight w:val="yellow"/>
        </w:rPr>
        <w:t>.</w:t>
      </w:r>
      <w:r w:rsidR="00C60966">
        <w:rPr>
          <w:rFonts w:ascii="Arial" w:hAnsi="Arial" w:cs="Arial"/>
          <w:sz w:val="24"/>
        </w:rPr>
        <w:t xml:space="preserve">  Conversely, there were 1,149 pension applicants (452 Veterans, 697 survivors) that were denied benefits on the basis of net worth</w:t>
      </w:r>
      <w:r w:rsidR="00D824B2">
        <w:rPr>
          <w:rFonts w:ascii="Arial" w:hAnsi="Arial" w:cs="Arial"/>
          <w:sz w:val="24"/>
        </w:rPr>
        <w:t xml:space="preserve"> that was below the proposed limit</w:t>
      </w:r>
      <w:r w:rsidR="00C60966">
        <w:rPr>
          <w:rFonts w:ascii="Arial" w:hAnsi="Arial" w:cs="Arial"/>
          <w:sz w:val="24"/>
        </w:rPr>
        <w:t xml:space="preserve">.  Based on this data, a net 1,109 additional beneficiaries (443 Veterans, 666 survivors) would have received pension benefits in FY2014 under this regulation.  </w:t>
      </w:r>
    </w:p>
    <w:p w:rsidR="00C60966" w:rsidRDefault="00C60966" w:rsidP="00C60966">
      <w:pPr>
        <w:pStyle w:val="ListParagraph"/>
        <w:ind w:left="360"/>
        <w:rPr>
          <w:rFonts w:ascii="Arial" w:hAnsi="Arial" w:cs="Arial"/>
          <w:sz w:val="24"/>
        </w:rPr>
      </w:pPr>
    </w:p>
    <w:p w:rsidR="000229C2" w:rsidRDefault="00C60966" w:rsidP="00C60966">
      <w:pPr>
        <w:pStyle w:val="ListParagraph"/>
        <w:ind w:left="360"/>
        <w:rPr>
          <w:rFonts w:ascii="Arial" w:hAnsi="Arial" w:cs="Arial"/>
          <w:sz w:val="24"/>
        </w:rPr>
      </w:pPr>
      <w:r>
        <w:rPr>
          <w:rFonts w:ascii="Arial" w:hAnsi="Arial" w:cs="Arial"/>
          <w:sz w:val="24"/>
        </w:rPr>
        <w:t>Accessions were projected to future years as a percentage of Veteran and survivor pension accessions from the FY2015 MSR budget.  Termination rates from the FY2015 MSR budget were applied to the caseload at the end of each year.  Average costs, estimated to be $12,000 for Veterans and $8,547 for survivors in FY 2014 were projected to the out-years based on COLA assumptions from the FY2015 MSR budget.  These average costs were applied to the projected caseload to calculate costs, which are shown in the table below.</w:t>
      </w:r>
      <w:r w:rsidR="00022C99">
        <w:rPr>
          <w:rStyle w:val="FootnoteReference"/>
          <w:rFonts w:ascii="Arial" w:hAnsi="Arial" w:cs="Arial"/>
          <w:sz w:val="24"/>
        </w:rPr>
        <w:footnoteReference w:id="1"/>
      </w:r>
    </w:p>
    <w:tbl>
      <w:tblPr>
        <w:tblW w:w="5921" w:type="dxa"/>
        <w:jc w:val="center"/>
        <w:tblLook w:val="04A0" w:firstRow="1" w:lastRow="0" w:firstColumn="1" w:lastColumn="0" w:noHBand="0" w:noVBand="1"/>
      </w:tblPr>
      <w:tblGrid>
        <w:gridCol w:w="1486"/>
        <w:gridCol w:w="1549"/>
        <w:gridCol w:w="1486"/>
        <w:gridCol w:w="1400"/>
      </w:tblGrid>
      <w:tr w:rsidR="00C60966" w:rsidRPr="006B5C85" w:rsidTr="00CB067D">
        <w:trPr>
          <w:trHeight w:val="315"/>
          <w:jc w:val="center"/>
        </w:trPr>
        <w:tc>
          <w:tcPr>
            <w:tcW w:w="592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60966" w:rsidRPr="006B5C85" w:rsidRDefault="00C60966" w:rsidP="00CB067D">
            <w:pPr>
              <w:jc w:val="center"/>
              <w:rPr>
                <w:rFonts w:ascii="Arial" w:hAnsi="Arial" w:cs="Arial"/>
                <w:b/>
                <w:bCs/>
                <w:color w:val="000000"/>
                <w:sz w:val="22"/>
                <w:szCs w:val="22"/>
              </w:rPr>
            </w:pPr>
            <w:r w:rsidRPr="006B5C85">
              <w:rPr>
                <w:rFonts w:ascii="Arial" w:hAnsi="Arial" w:cs="Arial"/>
                <w:b/>
                <w:bCs/>
                <w:color w:val="000000"/>
                <w:sz w:val="22"/>
                <w:szCs w:val="22"/>
              </w:rPr>
              <w:lastRenderedPageBreak/>
              <w:t>Establishment of Net Worth Limit</w:t>
            </w:r>
          </w:p>
        </w:tc>
      </w:tr>
      <w:tr w:rsidR="00C60966" w:rsidRPr="006B5C85" w:rsidTr="00CB067D">
        <w:trPr>
          <w:trHeight w:val="315"/>
          <w:jc w:val="center"/>
        </w:trPr>
        <w:tc>
          <w:tcPr>
            <w:tcW w:w="1486" w:type="dxa"/>
            <w:tcBorders>
              <w:top w:val="nil"/>
              <w:left w:val="single" w:sz="8" w:space="0" w:color="auto"/>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b/>
                <w:bCs/>
                <w:color w:val="000000"/>
                <w:sz w:val="22"/>
                <w:szCs w:val="22"/>
              </w:rPr>
            </w:pPr>
            <w:r w:rsidRPr="006B5C85">
              <w:rPr>
                <w:rFonts w:ascii="Arial" w:hAnsi="Arial" w:cs="Arial"/>
                <w:b/>
                <w:bCs/>
                <w:color w:val="000000"/>
                <w:sz w:val="22"/>
                <w:szCs w:val="22"/>
              </w:rPr>
              <w:t>Fiscal Year</w:t>
            </w:r>
          </w:p>
        </w:tc>
        <w:tc>
          <w:tcPr>
            <w:tcW w:w="1549"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b/>
                <w:bCs/>
                <w:color w:val="000000"/>
                <w:sz w:val="22"/>
                <w:szCs w:val="22"/>
              </w:rPr>
            </w:pPr>
            <w:r w:rsidRPr="006B5C85">
              <w:rPr>
                <w:rFonts w:ascii="Arial" w:hAnsi="Arial" w:cs="Arial"/>
                <w:b/>
                <w:bCs/>
                <w:color w:val="000000"/>
                <w:sz w:val="22"/>
                <w:szCs w:val="22"/>
              </w:rPr>
              <w:t>Caseload (+)</w:t>
            </w:r>
          </w:p>
        </w:tc>
        <w:tc>
          <w:tcPr>
            <w:tcW w:w="1486"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b/>
                <w:bCs/>
                <w:color w:val="000000"/>
                <w:sz w:val="22"/>
                <w:szCs w:val="22"/>
              </w:rPr>
            </w:pPr>
            <w:r w:rsidRPr="006B5C85">
              <w:rPr>
                <w:rFonts w:ascii="Arial" w:hAnsi="Arial" w:cs="Arial"/>
                <w:b/>
                <w:bCs/>
                <w:color w:val="000000"/>
                <w:sz w:val="22"/>
                <w:szCs w:val="22"/>
              </w:rPr>
              <w:t>Caseload (-)</w:t>
            </w:r>
          </w:p>
        </w:tc>
        <w:tc>
          <w:tcPr>
            <w:tcW w:w="1400"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b/>
                <w:bCs/>
                <w:color w:val="000000"/>
                <w:sz w:val="22"/>
                <w:szCs w:val="22"/>
              </w:rPr>
            </w:pPr>
            <w:r w:rsidRPr="006B5C85">
              <w:rPr>
                <w:rFonts w:ascii="Arial" w:hAnsi="Arial" w:cs="Arial"/>
                <w:b/>
                <w:bCs/>
                <w:color w:val="000000"/>
                <w:sz w:val="22"/>
                <w:szCs w:val="22"/>
              </w:rPr>
              <w:t>Cost ($000)</w:t>
            </w:r>
          </w:p>
        </w:tc>
      </w:tr>
      <w:tr w:rsidR="00C60966" w:rsidRPr="006B5C85" w:rsidTr="00CB067D">
        <w:trPr>
          <w:trHeight w:val="315"/>
          <w:jc w:val="center"/>
        </w:trPr>
        <w:tc>
          <w:tcPr>
            <w:tcW w:w="1486" w:type="dxa"/>
            <w:tcBorders>
              <w:top w:val="nil"/>
              <w:left w:val="single" w:sz="8" w:space="0" w:color="auto"/>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2016</w:t>
            </w:r>
          </w:p>
        </w:tc>
        <w:tc>
          <w:tcPr>
            <w:tcW w:w="1549"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1,175</w:t>
            </w:r>
          </w:p>
        </w:tc>
        <w:tc>
          <w:tcPr>
            <w:tcW w:w="1486"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6B5C85">
              <w:rPr>
                <w:rFonts w:ascii="Arial" w:hAnsi="Arial" w:cs="Arial"/>
                <w:color w:val="000000"/>
                <w:sz w:val="22"/>
                <w:szCs w:val="22"/>
              </w:rPr>
              <w:t>(41)</w:t>
            </w:r>
          </w:p>
        </w:tc>
        <w:tc>
          <w:tcPr>
            <w:tcW w:w="1400"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6B5C85">
              <w:rPr>
                <w:rFonts w:ascii="Arial" w:hAnsi="Arial" w:cs="Arial"/>
                <w:color w:val="000000"/>
                <w:sz w:val="22"/>
                <w:szCs w:val="22"/>
              </w:rPr>
              <w:t xml:space="preserve">$13,070 </w:t>
            </w:r>
          </w:p>
        </w:tc>
      </w:tr>
      <w:tr w:rsidR="00C60966" w:rsidRPr="006B5C85" w:rsidTr="00CB067D">
        <w:trPr>
          <w:trHeight w:val="315"/>
          <w:jc w:val="center"/>
        </w:trPr>
        <w:tc>
          <w:tcPr>
            <w:tcW w:w="1486" w:type="dxa"/>
            <w:tcBorders>
              <w:top w:val="nil"/>
              <w:left w:val="single" w:sz="8" w:space="0" w:color="auto"/>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2017</w:t>
            </w:r>
          </w:p>
        </w:tc>
        <w:tc>
          <w:tcPr>
            <w:tcW w:w="1549"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2,150</w:t>
            </w:r>
          </w:p>
        </w:tc>
        <w:tc>
          <w:tcPr>
            <w:tcW w:w="1486"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6B5C85">
              <w:rPr>
                <w:rFonts w:ascii="Arial" w:hAnsi="Arial" w:cs="Arial"/>
                <w:color w:val="000000"/>
                <w:sz w:val="22"/>
                <w:szCs w:val="22"/>
              </w:rPr>
              <w:t>(75)</w:t>
            </w:r>
          </w:p>
        </w:tc>
        <w:tc>
          <w:tcPr>
            <w:tcW w:w="1400"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6B5C85">
              <w:rPr>
                <w:rFonts w:ascii="Arial" w:hAnsi="Arial" w:cs="Arial"/>
                <w:color w:val="000000"/>
                <w:sz w:val="22"/>
                <w:szCs w:val="22"/>
              </w:rPr>
              <w:t xml:space="preserve">$25,837 </w:t>
            </w:r>
          </w:p>
        </w:tc>
      </w:tr>
      <w:tr w:rsidR="00C60966" w:rsidRPr="006B5C85" w:rsidTr="00CB067D">
        <w:trPr>
          <w:trHeight w:val="315"/>
          <w:jc w:val="center"/>
        </w:trPr>
        <w:tc>
          <w:tcPr>
            <w:tcW w:w="1486" w:type="dxa"/>
            <w:tcBorders>
              <w:top w:val="nil"/>
              <w:left w:val="single" w:sz="8" w:space="0" w:color="auto"/>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2018</w:t>
            </w:r>
          </w:p>
        </w:tc>
        <w:tc>
          <w:tcPr>
            <w:tcW w:w="1549"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2,963</w:t>
            </w:r>
          </w:p>
        </w:tc>
        <w:tc>
          <w:tcPr>
            <w:tcW w:w="1486"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(103)</w:t>
            </w:r>
          </w:p>
        </w:tc>
        <w:tc>
          <w:tcPr>
            <w:tcW w:w="1400"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6B5C85">
              <w:rPr>
                <w:rFonts w:ascii="Arial" w:hAnsi="Arial" w:cs="Arial"/>
                <w:color w:val="000000"/>
                <w:sz w:val="22"/>
                <w:szCs w:val="22"/>
              </w:rPr>
              <w:t xml:space="preserve">$38,514 </w:t>
            </w:r>
          </w:p>
        </w:tc>
      </w:tr>
      <w:tr w:rsidR="00C60966" w:rsidRPr="006B5C85" w:rsidTr="00CB067D">
        <w:trPr>
          <w:trHeight w:val="315"/>
          <w:jc w:val="center"/>
        </w:trPr>
        <w:tc>
          <w:tcPr>
            <w:tcW w:w="1486" w:type="dxa"/>
            <w:tcBorders>
              <w:top w:val="nil"/>
              <w:left w:val="single" w:sz="8" w:space="0" w:color="auto"/>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2019</w:t>
            </w:r>
          </w:p>
        </w:tc>
        <w:tc>
          <w:tcPr>
            <w:tcW w:w="1549"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3,640</w:t>
            </w:r>
          </w:p>
        </w:tc>
        <w:tc>
          <w:tcPr>
            <w:tcW w:w="1486"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(127)</w:t>
            </w:r>
          </w:p>
        </w:tc>
        <w:tc>
          <w:tcPr>
            <w:tcW w:w="1400"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6B5C85">
              <w:rPr>
                <w:rFonts w:ascii="Arial" w:hAnsi="Arial" w:cs="Arial"/>
                <w:color w:val="000000"/>
                <w:sz w:val="22"/>
                <w:szCs w:val="22"/>
              </w:rPr>
              <w:t xml:space="preserve">$51,224 </w:t>
            </w:r>
          </w:p>
        </w:tc>
      </w:tr>
      <w:tr w:rsidR="00C60966" w:rsidRPr="006B5C85" w:rsidTr="00CB067D">
        <w:trPr>
          <w:trHeight w:val="315"/>
          <w:jc w:val="center"/>
        </w:trPr>
        <w:tc>
          <w:tcPr>
            <w:tcW w:w="1486" w:type="dxa"/>
            <w:tcBorders>
              <w:top w:val="nil"/>
              <w:left w:val="single" w:sz="8" w:space="0" w:color="auto"/>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2020</w:t>
            </w:r>
          </w:p>
        </w:tc>
        <w:tc>
          <w:tcPr>
            <w:tcW w:w="1549"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4,206</w:t>
            </w:r>
          </w:p>
        </w:tc>
        <w:tc>
          <w:tcPr>
            <w:tcW w:w="1486"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sidRPr="006B5C85">
              <w:rPr>
                <w:rFonts w:ascii="Arial" w:hAnsi="Arial" w:cs="Arial"/>
                <w:color w:val="000000"/>
                <w:sz w:val="22"/>
                <w:szCs w:val="22"/>
              </w:rPr>
              <w:t>(146)</w:t>
            </w:r>
          </w:p>
        </w:tc>
        <w:tc>
          <w:tcPr>
            <w:tcW w:w="1400"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color w:val="000000"/>
                <w:sz w:val="22"/>
                <w:szCs w:val="22"/>
              </w:rPr>
            </w:pPr>
            <w:r>
              <w:rPr>
                <w:rFonts w:ascii="Arial" w:hAnsi="Arial" w:cs="Arial"/>
                <w:color w:val="000000"/>
                <w:sz w:val="22"/>
                <w:szCs w:val="22"/>
              </w:rPr>
              <w:t xml:space="preserve">  </w:t>
            </w:r>
            <w:r w:rsidRPr="006B5C85">
              <w:rPr>
                <w:rFonts w:ascii="Arial" w:hAnsi="Arial" w:cs="Arial"/>
                <w:color w:val="000000"/>
                <w:sz w:val="22"/>
                <w:szCs w:val="22"/>
              </w:rPr>
              <w:t xml:space="preserve">$64,175 </w:t>
            </w:r>
          </w:p>
        </w:tc>
      </w:tr>
      <w:tr w:rsidR="00C60966" w:rsidRPr="006B5C85" w:rsidTr="00CB067D">
        <w:trPr>
          <w:trHeight w:val="315"/>
          <w:jc w:val="center"/>
        </w:trPr>
        <w:tc>
          <w:tcPr>
            <w:tcW w:w="1486" w:type="dxa"/>
            <w:tcBorders>
              <w:top w:val="nil"/>
              <w:left w:val="single" w:sz="8" w:space="0" w:color="auto"/>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b/>
                <w:bCs/>
                <w:color w:val="000000"/>
                <w:sz w:val="22"/>
                <w:szCs w:val="22"/>
              </w:rPr>
            </w:pPr>
            <w:r w:rsidRPr="006B5C85">
              <w:rPr>
                <w:rFonts w:ascii="Arial" w:hAnsi="Arial" w:cs="Arial"/>
                <w:b/>
                <w:bCs/>
                <w:color w:val="000000"/>
                <w:sz w:val="22"/>
                <w:szCs w:val="22"/>
              </w:rPr>
              <w:t>5-Year Total</w:t>
            </w:r>
          </w:p>
        </w:tc>
        <w:tc>
          <w:tcPr>
            <w:tcW w:w="1549"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b/>
                <w:bCs/>
                <w:color w:val="000000"/>
                <w:sz w:val="22"/>
                <w:szCs w:val="22"/>
              </w:rPr>
            </w:pPr>
            <w:r w:rsidRPr="006B5C85">
              <w:rPr>
                <w:rFonts w:ascii="Arial" w:hAnsi="Arial" w:cs="Arial"/>
                <w:b/>
                <w:bCs/>
                <w:color w:val="000000"/>
                <w:sz w:val="22"/>
                <w:szCs w:val="22"/>
              </w:rPr>
              <w:t> </w:t>
            </w:r>
          </w:p>
        </w:tc>
        <w:tc>
          <w:tcPr>
            <w:tcW w:w="1486"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b/>
                <w:bCs/>
                <w:color w:val="000000"/>
                <w:sz w:val="22"/>
                <w:szCs w:val="22"/>
              </w:rPr>
            </w:pPr>
            <w:r w:rsidRPr="006B5C85">
              <w:rPr>
                <w:rFonts w:ascii="Arial" w:hAnsi="Arial" w:cs="Arial"/>
                <w:b/>
                <w:bCs/>
                <w:color w:val="000000"/>
                <w:sz w:val="22"/>
                <w:szCs w:val="22"/>
              </w:rPr>
              <w:t> </w:t>
            </w:r>
          </w:p>
        </w:tc>
        <w:tc>
          <w:tcPr>
            <w:tcW w:w="1400" w:type="dxa"/>
            <w:tcBorders>
              <w:top w:val="nil"/>
              <w:left w:val="nil"/>
              <w:bottom w:val="single" w:sz="8" w:space="0" w:color="auto"/>
              <w:right w:val="single" w:sz="8" w:space="0" w:color="auto"/>
            </w:tcBorders>
            <w:shd w:val="clear" w:color="auto" w:fill="auto"/>
            <w:noWrap/>
            <w:vAlign w:val="center"/>
            <w:hideMark/>
          </w:tcPr>
          <w:p w:rsidR="00C60966" w:rsidRPr="006B5C85" w:rsidRDefault="00C60966" w:rsidP="00CB067D">
            <w:pPr>
              <w:jc w:val="center"/>
              <w:rPr>
                <w:rFonts w:ascii="Arial" w:hAnsi="Arial" w:cs="Arial"/>
                <w:b/>
                <w:bCs/>
                <w:color w:val="000000"/>
                <w:sz w:val="22"/>
                <w:szCs w:val="22"/>
              </w:rPr>
            </w:pPr>
            <w:r w:rsidRPr="006B5C85">
              <w:rPr>
                <w:rFonts w:ascii="Arial" w:hAnsi="Arial" w:cs="Arial"/>
                <w:b/>
                <w:bCs/>
                <w:color w:val="000000"/>
                <w:sz w:val="22"/>
                <w:szCs w:val="22"/>
              </w:rPr>
              <w:t xml:space="preserve">$192,820 </w:t>
            </w:r>
          </w:p>
        </w:tc>
      </w:tr>
    </w:tbl>
    <w:p w:rsidR="00AF5732" w:rsidRDefault="00AF5732" w:rsidP="00571535">
      <w:pPr>
        <w:pStyle w:val="ListParagraph"/>
        <w:ind w:left="360"/>
        <w:rPr>
          <w:rFonts w:ascii="Arial" w:hAnsi="Arial" w:cs="Arial"/>
          <w:sz w:val="24"/>
        </w:rPr>
      </w:pPr>
    </w:p>
    <w:p w:rsidR="00F86EEC" w:rsidRPr="000F2F54" w:rsidRDefault="00F86EEC" w:rsidP="00571535">
      <w:pPr>
        <w:tabs>
          <w:tab w:val="left" w:pos="360"/>
        </w:tabs>
        <w:ind w:left="360"/>
        <w:rPr>
          <w:rFonts w:ascii="Arial" w:hAnsi="Arial" w:cs="Arial"/>
          <w:sz w:val="24"/>
          <w:u w:val="single"/>
        </w:rPr>
      </w:pPr>
      <w:r>
        <w:rPr>
          <w:rFonts w:ascii="Arial" w:hAnsi="Arial" w:cs="Arial"/>
          <w:sz w:val="24"/>
          <w:u w:val="single"/>
        </w:rPr>
        <w:t>Asset transfer 36-Month Look</w:t>
      </w:r>
      <w:r w:rsidR="00180CFC">
        <w:rPr>
          <w:rFonts w:ascii="Arial" w:hAnsi="Arial" w:cs="Arial"/>
          <w:sz w:val="24"/>
          <w:u w:val="single"/>
        </w:rPr>
        <w:t xml:space="preserve"> B</w:t>
      </w:r>
      <w:r>
        <w:rPr>
          <w:rFonts w:ascii="Arial" w:hAnsi="Arial" w:cs="Arial"/>
          <w:sz w:val="24"/>
          <w:u w:val="single"/>
        </w:rPr>
        <w:t>ack</w:t>
      </w:r>
    </w:p>
    <w:p w:rsidR="00C86171" w:rsidRDefault="00C86171" w:rsidP="00571535">
      <w:pPr>
        <w:tabs>
          <w:tab w:val="left" w:pos="360"/>
        </w:tabs>
        <w:ind w:left="360"/>
        <w:rPr>
          <w:rFonts w:ascii="Arial" w:hAnsi="Arial" w:cs="Arial"/>
          <w:sz w:val="24"/>
          <w:u w:val="single"/>
        </w:rPr>
      </w:pPr>
    </w:p>
    <w:p w:rsidR="00C60966" w:rsidRDefault="00F86EEC" w:rsidP="00C60966">
      <w:pPr>
        <w:ind w:left="360"/>
        <w:rPr>
          <w:rFonts w:ascii="Arial" w:hAnsi="Arial" w:cs="Arial"/>
          <w:sz w:val="24"/>
          <w:szCs w:val="24"/>
        </w:rPr>
      </w:pPr>
      <w:r>
        <w:rPr>
          <w:rFonts w:ascii="Arial" w:hAnsi="Arial" w:cs="Arial"/>
          <w:sz w:val="24"/>
        </w:rPr>
        <w:t xml:space="preserve">This regulation would establish a presumption, </w:t>
      </w:r>
      <w:r w:rsidRPr="00DA60C3">
        <w:rPr>
          <w:rFonts w:ascii="Arial" w:hAnsi="Arial" w:cs="Arial"/>
          <w:sz w:val="24"/>
        </w:rPr>
        <w:t>absent clear and convincing evidence showing otherwise</w:t>
      </w:r>
      <w:r>
        <w:rPr>
          <w:rFonts w:ascii="Arial" w:hAnsi="Arial" w:cs="Arial"/>
          <w:sz w:val="24"/>
        </w:rPr>
        <w:t>, that asset transfers made by pension applicants within the last 36 months were made for the purposes of establishing pension eligibility.  Pension</w:t>
      </w:r>
      <w:r w:rsidR="002C0680">
        <w:rPr>
          <w:rFonts w:ascii="Arial" w:hAnsi="Arial" w:cs="Arial"/>
          <w:sz w:val="24"/>
        </w:rPr>
        <w:t xml:space="preserve"> and Fiduciary (P&amp;F)</w:t>
      </w:r>
      <w:r>
        <w:rPr>
          <w:rFonts w:ascii="Arial" w:hAnsi="Arial" w:cs="Arial"/>
          <w:sz w:val="24"/>
        </w:rPr>
        <w:t xml:space="preserve"> </w:t>
      </w:r>
      <w:r w:rsidR="008D14AE">
        <w:rPr>
          <w:rFonts w:ascii="Arial" w:hAnsi="Arial" w:cs="Arial"/>
          <w:sz w:val="24"/>
        </w:rPr>
        <w:t>S</w:t>
      </w:r>
      <w:r>
        <w:rPr>
          <w:rFonts w:ascii="Arial" w:hAnsi="Arial" w:cs="Arial"/>
          <w:sz w:val="24"/>
        </w:rPr>
        <w:t xml:space="preserve">ervice estimates based on program knowledge that </w:t>
      </w:r>
      <w:r>
        <w:rPr>
          <w:rFonts w:ascii="Arial" w:hAnsi="Arial" w:cs="Arial"/>
          <w:sz w:val="24"/>
          <w:szCs w:val="24"/>
        </w:rPr>
        <w:t>1 percent of pension applicants dispose of assets before claiming pension.  </w:t>
      </w:r>
      <w:r w:rsidR="00C60966">
        <w:rPr>
          <w:rFonts w:ascii="Arial" w:hAnsi="Arial" w:cs="Arial"/>
          <w:sz w:val="24"/>
          <w:szCs w:val="24"/>
        </w:rPr>
        <w:t>This 1 percent assumption was applied to Veteran and survivor pension accession estimates (47,740 and 43,736, respectively in</w:t>
      </w:r>
      <w:r w:rsidR="009E28AC">
        <w:rPr>
          <w:rFonts w:ascii="Arial" w:hAnsi="Arial" w:cs="Arial"/>
          <w:sz w:val="24"/>
          <w:szCs w:val="24"/>
        </w:rPr>
        <w:t xml:space="preserve"> FY 2016) from the FY 2015 MSR b</w:t>
      </w:r>
      <w:r w:rsidR="00C60966">
        <w:rPr>
          <w:rFonts w:ascii="Arial" w:hAnsi="Arial" w:cs="Arial"/>
          <w:sz w:val="24"/>
          <w:szCs w:val="24"/>
        </w:rPr>
        <w:t>udget to estimate</w:t>
      </w:r>
      <w:r w:rsidR="00C60966" w:rsidRPr="00F86EEC">
        <w:rPr>
          <w:rFonts w:ascii="Arial" w:hAnsi="Arial" w:cs="Arial"/>
          <w:sz w:val="24"/>
          <w:szCs w:val="24"/>
        </w:rPr>
        <w:t xml:space="preserve"> </w:t>
      </w:r>
      <w:r w:rsidR="00C60966">
        <w:rPr>
          <w:rFonts w:ascii="Arial" w:hAnsi="Arial" w:cs="Arial"/>
          <w:sz w:val="24"/>
          <w:szCs w:val="24"/>
        </w:rPr>
        <w:t xml:space="preserve">the new pension applicants that would be affected each year.  </w:t>
      </w:r>
    </w:p>
    <w:p w:rsidR="00C60966" w:rsidRDefault="00C60966" w:rsidP="00C60966">
      <w:pPr>
        <w:ind w:left="360"/>
        <w:rPr>
          <w:rFonts w:ascii="Arial" w:hAnsi="Arial" w:cs="Arial"/>
          <w:sz w:val="24"/>
          <w:szCs w:val="24"/>
        </w:rPr>
      </w:pPr>
    </w:p>
    <w:p w:rsidR="00C60966" w:rsidRDefault="00C60966" w:rsidP="00C60966">
      <w:pPr>
        <w:ind w:left="360"/>
        <w:rPr>
          <w:rFonts w:ascii="Arial" w:hAnsi="Arial" w:cs="Arial"/>
          <w:sz w:val="24"/>
          <w:szCs w:val="24"/>
        </w:rPr>
      </w:pPr>
      <w:r>
        <w:rPr>
          <w:rFonts w:ascii="Arial" w:hAnsi="Arial" w:cs="Arial"/>
          <w:sz w:val="24"/>
          <w:szCs w:val="24"/>
        </w:rPr>
        <w:t>P&amp;F</w:t>
      </w:r>
      <w:r w:rsidR="00A676A2">
        <w:rPr>
          <w:rFonts w:ascii="Arial" w:hAnsi="Arial" w:cs="Arial"/>
          <w:sz w:val="24"/>
          <w:szCs w:val="24"/>
        </w:rPr>
        <w:t xml:space="preserve"> Service</w:t>
      </w:r>
      <w:r>
        <w:rPr>
          <w:rFonts w:ascii="Arial" w:hAnsi="Arial" w:cs="Arial"/>
          <w:sz w:val="24"/>
          <w:szCs w:val="24"/>
        </w:rPr>
        <w:t xml:space="preserve"> also estimates, based on program knowledge, that the average penalty period will be 36 months.  The savings were calculated by applying the average annual payment rates for Veteran and survivor pension estimates ($12,920 and $10,588, respectively</w:t>
      </w:r>
      <w:r w:rsidR="00D67310">
        <w:rPr>
          <w:rFonts w:ascii="Arial" w:hAnsi="Arial" w:cs="Arial"/>
          <w:sz w:val="24"/>
          <w:szCs w:val="24"/>
        </w:rPr>
        <w:t>,</w:t>
      </w:r>
      <w:r>
        <w:rPr>
          <w:rFonts w:ascii="Arial" w:hAnsi="Arial" w:cs="Arial"/>
          <w:sz w:val="24"/>
          <w:szCs w:val="24"/>
        </w:rPr>
        <w:t xml:space="preserve"> in</w:t>
      </w:r>
      <w:r w:rsidR="009E28AC">
        <w:rPr>
          <w:rFonts w:ascii="Arial" w:hAnsi="Arial" w:cs="Arial"/>
          <w:sz w:val="24"/>
          <w:szCs w:val="24"/>
        </w:rPr>
        <w:t xml:space="preserve"> FY 2016) from the FY 2015 MSR b</w:t>
      </w:r>
      <w:r>
        <w:rPr>
          <w:rFonts w:ascii="Arial" w:hAnsi="Arial" w:cs="Arial"/>
          <w:sz w:val="24"/>
          <w:szCs w:val="24"/>
        </w:rPr>
        <w:t>udget to the respective caseload. A percentage of the applicants are then assumed to access the pension rolls after the 3 year penalty period.  This percentage is based on the percentage of pension recipients that remain on the rolls each year.  The resulting annual savings are shown in the table below.  Note that the increase to savings slows after the third year due to applicants added to the rolls after the initial 36 month penalty period.</w:t>
      </w:r>
    </w:p>
    <w:p w:rsidR="00A676A2" w:rsidRDefault="00A676A2" w:rsidP="00C60966">
      <w:pPr>
        <w:ind w:left="360"/>
        <w:rPr>
          <w:rFonts w:ascii="Arial" w:hAnsi="Arial" w:cs="Arial"/>
          <w:sz w:val="24"/>
        </w:rPr>
      </w:pPr>
    </w:p>
    <w:tbl>
      <w:tblPr>
        <w:tblW w:w="4704" w:type="dxa"/>
        <w:jc w:val="center"/>
        <w:tblLook w:val="04A0" w:firstRow="1" w:lastRow="0" w:firstColumn="1" w:lastColumn="0" w:noHBand="0" w:noVBand="1"/>
      </w:tblPr>
      <w:tblGrid>
        <w:gridCol w:w="1677"/>
        <w:gridCol w:w="1605"/>
        <w:gridCol w:w="1422"/>
      </w:tblGrid>
      <w:tr w:rsidR="00A676A2" w:rsidRPr="00C86171" w:rsidTr="00CB067D">
        <w:trPr>
          <w:trHeight w:val="309"/>
          <w:jc w:val="center"/>
        </w:trPr>
        <w:tc>
          <w:tcPr>
            <w:tcW w:w="47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6A2" w:rsidRPr="00180CFC" w:rsidRDefault="00A676A2" w:rsidP="00CB067D">
            <w:pPr>
              <w:jc w:val="center"/>
              <w:rPr>
                <w:rFonts w:ascii="Arial" w:hAnsi="Arial" w:cs="Arial"/>
                <w:b/>
                <w:bCs/>
                <w:color w:val="000000"/>
                <w:sz w:val="22"/>
                <w:szCs w:val="22"/>
              </w:rPr>
            </w:pPr>
            <w:r>
              <w:rPr>
                <w:rFonts w:ascii="Arial" w:hAnsi="Arial" w:cs="Arial"/>
                <w:b/>
                <w:bCs/>
                <w:color w:val="000000"/>
                <w:sz w:val="22"/>
                <w:szCs w:val="22"/>
              </w:rPr>
              <w:t>Asset Transfer Look Back</w:t>
            </w:r>
          </w:p>
        </w:tc>
      </w:tr>
      <w:tr w:rsidR="00A676A2" w:rsidRPr="00C86171" w:rsidTr="00CB067D">
        <w:trPr>
          <w:trHeight w:val="309"/>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A676A2" w:rsidRPr="00C86171" w:rsidRDefault="00A676A2" w:rsidP="00CB067D">
            <w:pPr>
              <w:jc w:val="center"/>
              <w:rPr>
                <w:rFonts w:ascii="Arial" w:hAnsi="Arial" w:cs="Arial"/>
                <w:b/>
                <w:color w:val="000000"/>
                <w:sz w:val="22"/>
                <w:szCs w:val="22"/>
              </w:rPr>
            </w:pPr>
            <w:r w:rsidRPr="00C86171">
              <w:rPr>
                <w:rFonts w:ascii="Arial" w:hAnsi="Arial" w:cs="Arial"/>
                <w:b/>
                <w:color w:val="000000"/>
                <w:sz w:val="22"/>
                <w:szCs w:val="22"/>
              </w:rPr>
              <w:t>Fiscal Year</w:t>
            </w:r>
          </w:p>
        </w:tc>
        <w:tc>
          <w:tcPr>
            <w:tcW w:w="1605" w:type="dxa"/>
            <w:tcBorders>
              <w:top w:val="nil"/>
              <w:left w:val="nil"/>
              <w:bottom w:val="single" w:sz="4" w:space="0" w:color="auto"/>
              <w:right w:val="single" w:sz="4" w:space="0" w:color="auto"/>
            </w:tcBorders>
            <w:shd w:val="clear" w:color="auto" w:fill="auto"/>
            <w:noWrap/>
            <w:vAlign w:val="bottom"/>
            <w:hideMark/>
          </w:tcPr>
          <w:p w:rsidR="00A676A2" w:rsidRPr="00C86171" w:rsidRDefault="00A676A2" w:rsidP="00CB067D">
            <w:pPr>
              <w:jc w:val="center"/>
              <w:rPr>
                <w:rFonts w:ascii="Arial" w:hAnsi="Arial" w:cs="Arial"/>
                <w:b/>
                <w:color w:val="000000"/>
                <w:sz w:val="22"/>
                <w:szCs w:val="22"/>
              </w:rPr>
            </w:pPr>
            <w:r w:rsidRPr="00C86171">
              <w:rPr>
                <w:rFonts w:ascii="Arial" w:hAnsi="Arial" w:cs="Arial"/>
                <w:b/>
                <w:color w:val="000000"/>
                <w:sz w:val="22"/>
                <w:szCs w:val="22"/>
              </w:rPr>
              <w:t>Caseload</w:t>
            </w:r>
            <w:r>
              <w:rPr>
                <w:rFonts w:ascii="Arial" w:hAnsi="Arial" w:cs="Arial"/>
                <w:b/>
                <w:color w:val="000000"/>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bottom"/>
            <w:hideMark/>
          </w:tcPr>
          <w:p w:rsidR="00A676A2" w:rsidRPr="00C86171" w:rsidRDefault="00A676A2" w:rsidP="00CB067D">
            <w:pPr>
              <w:jc w:val="center"/>
              <w:rPr>
                <w:rFonts w:ascii="Arial" w:hAnsi="Arial" w:cs="Arial"/>
                <w:b/>
                <w:color w:val="000000"/>
                <w:sz w:val="22"/>
                <w:szCs w:val="22"/>
              </w:rPr>
            </w:pPr>
            <w:r>
              <w:rPr>
                <w:rFonts w:ascii="Arial" w:hAnsi="Arial" w:cs="Arial"/>
                <w:b/>
                <w:color w:val="000000"/>
                <w:sz w:val="22"/>
                <w:szCs w:val="22"/>
              </w:rPr>
              <w:t>(</w:t>
            </w:r>
            <w:r w:rsidRPr="00C86171">
              <w:rPr>
                <w:rFonts w:ascii="Arial" w:hAnsi="Arial" w:cs="Arial"/>
                <w:b/>
                <w:color w:val="000000"/>
                <w:sz w:val="22"/>
                <w:szCs w:val="22"/>
              </w:rPr>
              <w:t>Savings</w:t>
            </w:r>
            <w:r>
              <w:rPr>
                <w:rFonts w:ascii="Arial" w:hAnsi="Arial" w:cs="Arial"/>
                <w:b/>
                <w:color w:val="000000"/>
                <w:sz w:val="22"/>
                <w:szCs w:val="22"/>
              </w:rPr>
              <w:t>)</w:t>
            </w:r>
            <w:r w:rsidRPr="00C86171">
              <w:rPr>
                <w:rFonts w:ascii="Arial" w:hAnsi="Arial" w:cs="Arial"/>
                <w:b/>
                <w:color w:val="000000"/>
                <w:sz w:val="22"/>
                <w:szCs w:val="22"/>
              </w:rPr>
              <w:t xml:space="preserve"> ($000)</w:t>
            </w:r>
          </w:p>
        </w:tc>
      </w:tr>
      <w:tr w:rsidR="00A676A2" w:rsidRPr="00C86171" w:rsidTr="00CB067D">
        <w:trPr>
          <w:trHeight w:val="309"/>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2" w:rsidRDefault="00A676A2" w:rsidP="00CB067D">
            <w:pPr>
              <w:jc w:val="center"/>
              <w:rPr>
                <w:rFonts w:ascii="Arial" w:hAnsi="Arial" w:cs="Arial"/>
                <w:color w:val="000000"/>
                <w:sz w:val="22"/>
                <w:szCs w:val="22"/>
              </w:rPr>
            </w:pPr>
            <w:r>
              <w:rPr>
                <w:rFonts w:ascii="Arial" w:hAnsi="Arial" w:cs="Arial"/>
                <w:color w:val="000000"/>
                <w:sz w:val="22"/>
                <w:szCs w:val="22"/>
              </w:rPr>
              <w:t>2016</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 xml:space="preserve">   (914)</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($10,790)</w:t>
            </w:r>
          </w:p>
        </w:tc>
      </w:tr>
      <w:tr w:rsidR="00A676A2" w:rsidRPr="00C86171" w:rsidTr="00CB067D">
        <w:trPr>
          <w:trHeight w:val="309"/>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2" w:rsidRDefault="00A676A2" w:rsidP="00CB067D">
            <w:pPr>
              <w:jc w:val="center"/>
              <w:rPr>
                <w:rFonts w:ascii="Arial" w:hAnsi="Arial" w:cs="Arial"/>
                <w:color w:val="000000"/>
                <w:sz w:val="22"/>
                <w:szCs w:val="22"/>
              </w:rPr>
            </w:pPr>
            <w:r>
              <w:rPr>
                <w:rFonts w:ascii="Arial" w:hAnsi="Arial" w:cs="Arial"/>
                <w:color w:val="000000"/>
                <w:sz w:val="22"/>
                <w:szCs w:val="22"/>
              </w:rPr>
              <w:t>2017</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(1,677)</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($21,213)</w:t>
            </w:r>
          </w:p>
        </w:tc>
      </w:tr>
      <w:tr w:rsidR="00A676A2" w:rsidRPr="00C86171" w:rsidTr="00CB067D">
        <w:trPr>
          <w:trHeight w:val="309"/>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2" w:rsidRDefault="00A676A2" w:rsidP="00CB067D">
            <w:pPr>
              <w:jc w:val="center"/>
              <w:rPr>
                <w:rFonts w:ascii="Arial" w:hAnsi="Arial" w:cs="Arial"/>
                <w:color w:val="000000"/>
                <w:sz w:val="22"/>
                <w:szCs w:val="22"/>
              </w:rPr>
            </w:pPr>
            <w:r>
              <w:rPr>
                <w:rFonts w:ascii="Arial" w:hAnsi="Arial" w:cs="Arial"/>
                <w:color w:val="000000"/>
                <w:sz w:val="22"/>
                <w:szCs w:val="22"/>
              </w:rPr>
              <w:t>2018</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(2,315)</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($31,414)</w:t>
            </w:r>
          </w:p>
        </w:tc>
      </w:tr>
      <w:tr w:rsidR="00A676A2" w:rsidRPr="00C86171" w:rsidTr="00CB067D">
        <w:trPr>
          <w:trHeight w:val="309"/>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2" w:rsidRDefault="00A676A2" w:rsidP="00CB067D">
            <w:pPr>
              <w:jc w:val="center"/>
              <w:rPr>
                <w:rFonts w:ascii="Arial" w:hAnsi="Arial" w:cs="Arial"/>
                <w:color w:val="000000"/>
                <w:sz w:val="22"/>
                <w:szCs w:val="22"/>
              </w:rPr>
            </w:pPr>
            <w:r>
              <w:rPr>
                <w:rFonts w:ascii="Arial" w:hAnsi="Arial" w:cs="Arial"/>
                <w:color w:val="000000"/>
                <w:sz w:val="22"/>
                <w:szCs w:val="22"/>
              </w:rPr>
              <w:t>2019</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(2,329)</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($33,950)</w:t>
            </w:r>
          </w:p>
        </w:tc>
      </w:tr>
      <w:tr w:rsidR="00A676A2" w:rsidRPr="00C86171" w:rsidTr="00CB067D">
        <w:trPr>
          <w:trHeight w:val="309"/>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2" w:rsidRDefault="00A676A2" w:rsidP="00CB067D">
            <w:pPr>
              <w:jc w:val="center"/>
              <w:rPr>
                <w:rFonts w:ascii="Arial" w:hAnsi="Arial" w:cs="Arial"/>
                <w:color w:val="000000"/>
                <w:sz w:val="22"/>
                <w:szCs w:val="22"/>
              </w:rPr>
            </w:pPr>
            <w:r>
              <w:rPr>
                <w:rFonts w:ascii="Arial" w:hAnsi="Arial" w:cs="Arial"/>
                <w:color w:val="000000"/>
                <w:sz w:val="22"/>
                <w:szCs w:val="22"/>
              </w:rPr>
              <w:t>2020</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(2,342)</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($36,748)</w:t>
            </w:r>
          </w:p>
        </w:tc>
      </w:tr>
      <w:tr w:rsidR="00A676A2" w:rsidRPr="00C86171" w:rsidTr="00CB067D">
        <w:trPr>
          <w:trHeight w:val="309"/>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2" w:rsidRDefault="00A676A2" w:rsidP="00CB067D">
            <w:pPr>
              <w:jc w:val="center"/>
              <w:rPr>
                <w:rFonts w:ascii="Arial" w:hAnsi="Arial" w:cs="Arial"/>
                <w:b/>
                <w:bCs/>
                <w:color w:val="000000"/>
                <w:sz w:val="22"/>
                <w:szCs w:val="22"/>
              </w:rPr>
            </w:pPr>
            <w:r>
              <w:rPr>
                <w:rFonts w:ascii="Arial" w:hAnsi="Arial" w:cs="Arial"/>
                <w:b/>
                <w:bCs/>
                <w:color w:val="000000"/>
                <w:sz w:val="22"/>
                <w:szCs w:val="22"/>
              </w:rPr>
              <w:t>5-Year Total</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F950CD">
            <w:pPr>
              <w:ind w:firstLineChars="100" w:firstLine="221"/>
              <w:jc w:val="right"/>
              <w:rPr>
                <w:rFonts w:ascii="Arial" w:hAnsi="Arial" w:cs="Arial"/>
                <w:b/>
                <w:bCs/>
                <w:color w:val="000000"/>
                <w:sz w:val="22"/>
                <w:szCs w:val="22"/>
              </w:rPr>
            </w:pPr>
            <w:r>
              <w:rPr>
                <w:rFonts w:ascii="Arial" w:hAnsi="Arial" w:cs="Arial"/>
                <w:b/>
                <w:bCs/>
                <w:color w:val="000000"/>
                <w:sz w:val="22"/>
                <w:szCs w:val="22"/>
              </w:rPr>
              <w:t>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A676A2" w:rsidRDefault="00A676A2" w:rsidP="00CB067D">
            <w:pPr>
              <w:jc w:val="center"/>
              <w:rPr>
                <w:rFonts w:ascii="Arial" w:hAnsi="Arial" w:cs="Arial"/>
                <w:b/>
                <w:bCs/>
                <w:color w:val="000000"/>
                <w:sz w:val="22"/>
                <w:szCs w:val="22"/>
              </w:rPr>
            </w:pPr>
            <w:r>
              <w:rPr>
                <w:rFonts w:ascii="Arial" w:hAnsi="Arial" w:cs="Arial"/>
                <w:b/>
                <w:bCs/>
                <w:color w:val="000000"/>
                <w:sz w:val="22"/>
                <w:szCs w:val="22"/>
              </w:rPr>
              <w:t xml:space="preserve">  ($134,114)</w:t>
            </w:r>
          </w:p>
        </w:tc>
      </w:tr>
    </w:tbl>
    <w:p w:rsidR="009D68B7" w:rsidRDefault="009D68B7" w:rsidP="00571535">
      <w:pPr>
        <w:ind w:left="360"/>
        <w:rPr>
          <w:rFonts w:ascii="Arial" w:hAnsi="Arial" w:cs="Arial"/>
          <w:sz w:val="24"/>
          <w:u w:val="single"/>
        </w:rPr>
      </w:pPr>
    </w:p>
    <w:p w:rsidR="009D68B7" w:rsidRDefault="009D68B7" w:rsidP="00571535">
      <w:pPr>
        <w:ind w:left="360"/>
        <w:rPr>
          <w:rFonts w:ascii="Arial" w:hAnsi="Arial" w:cs="Arial"/>
          <w:sz w:val="24"/>
          <w:u w:val="single"/>
        </w:rPr>
      </w:pPr>
    </w:p>
    <w:p w:rsidR="000F2F54" w:rsidRPr="000F2F54" w:rsidRDefault="002C0680" w:rsidP="00571535">
      <w:pPr>
        <w:ind w:left="360"/>
        <w:rPr>
          <w:rFonts w:ascii="Arial" w:hAnsi="Arial" w:cs="Arial"/>
          <w:sz w:val="24"/>
          <w:u w:val="single"/>
        </w:rPr>
      </w:pPr>
      <w:r>
        <w:rPr>
          <w:rFonts w:ascii="Arial" w:hAnsi="Arial" w:cs="Arial"/>
          <w:sz w:val="24"/>
          <w:u w:val="single"/>
        </w:rPr>
        <w:lastRenderedPageBreak/>
        <w:t>Income Deductions for Medical Expenses</w:t>
      </w:r>
    </w:p>
    <w:p w:rsidR="00C86171" w:rsidRDefault="00C86171" w:rsidP="00571535">
      <w:pPr>
        <w:ind w:left="360"/>
        <w:rPr>
          <w:rFonts w:ascii="Arial" w:hAnsi="Arial" w:cs="Arial"/>
          <w:sz w:val="24"/>
        </w:rPr>
      </w:pPr>
    </w:p>
    <w:p w:rsidR="00A676A2" w:rsidRDefault="00A676A2" w:rsidP="00A676A2">
      <w:pPr>
        <w:ind w:left="360"/>
        <w:rPr>
          <w:rFonts w:ascii="Arial" w:hAnsi="Arial" w:cs="Arial"/>
          <w:sz w:val="24"/>
        </w:rPr>
      </w:pPr>
      <w:r>
        <w:rPr>
          <w:rFonts w:ascii="Arial" w:hAnsi="Arial" w:cs="Arial"/>
          <w:sz w:val="24"/>
        </w:rPr>
        <w:t xml:space="preserve">This regulation defines </w:t>
      </w:r>
      <w:r w:rsidRPr="00135C7B">
        <w:rPr>
          <w:rFonts w:ascii="Arial" w:hAnsi="Arial" w:cs="Arial"/>
          <w:sz w:val="24"/>
        </w:rPr>
        <w:t>and clarifies what VA considers to be a deductible medical expense for all of its needs-based benefits.</w:t>
      </w:r>
      <w:r>
        <w:rPr>
          <w:rFonts w:ascii="Arial" w:hAnsi="Arial" w:cs="Arial"/>
          <w:sz w:val="24"/>
        </w:rPr>
        <w:t xml:space="preserve">  The most significant of these clarifications will impact </w:t>
      </w:r>
      <w:r w:rsidR="009E28AC">
        <w:rPr>
          <w:rFonts w:ascii="Arial" w:hAnsi="Arial" w:cs="Arial"/>
          <w:sz w:val="24"/>
        </w:rPr>
        <w:t>Veterans and survivors living</w:t>
      </w:r>
      <w:r>
        <w:rPr>
          <w:rFonts w:ascii="Arial" w:hAnsi="Arial" w:cs="Arial"/>
          <w:sz w:val="24"/>
        </w:rPr>
        <w:t xml:space="preserve"> in </w:t>
      </w:r>
      <w:r w:rsidR="009E28AC">
        <w:rPr>
          <w:rFonts w:ascii="Arial" w:hAnsi="Arial" w:cs="Arial"/>
          <w:sz w:val="24"/>
        </w:rPr>
        <w:t xml:space="preserve">an </w:t>
      </w:r>
      <w:r>
        <w:rPr>
          <w:rFonts w:ascii="Arial" w:hAnsi="Arial" w:cs="Arial"/>
          <w:sz w:val="24"/>
        </w:rPr>
        <w:t xml:space="preserve">independent living facility.  Under current practice, room and board expenses for independent living facilities are sometimes considered deductible medical expenses.  This regulation would require that an </w:t>
      </w:r>
      <w:r w:rsidRPr="00F75466">
        <w:rPr>
          <w:rFonts w:ascii="Arial" w:hAnsi="Arial" w:cs="Arial"/>
          <w:sz w:val="24"/>
        </w:rPr>
        <w:t>“assisted living, adult day care, or similar facility”</w:t>
      </w:r>
      <w:r>
        <w:rPr>
          <w:rFonts w:ascii="Arial" w:hAnsi="Arial" w:cs="Arial"/>
          <w:sz w:val="24"/>
        </w:rPr>
        <w:t xml:space="preserve"> must</w:t>
      </w:r>
      <w:r w:rsidRPr="00F75466">
        <w:rPr>
          <w:rFonts w:ascii="Arial" w:hAnsi="Arial" w:cs="Arial"/>
          <w:sz w:val="24"/>
        </w:rPr>
        <w:t xml:space="preserve"> provide individuals with custodial care</w:t>
      </w:r>
      <w:r>
        <w:rPr>
          <w:rFonts w:ascii="Arial" w:hAnsi="Arial" w:cs="Arial"/>
          <w:sz w:val="24"/>
        </w:rPr>
        <w:t xml:space="preserve"> 24 hours per day in order for room and board to be considered a deductible medical expense for the purposes </w:t>
      </w:r>
      <w:r w:rsidR="00D67310">
        <w:rPr>
          <w:rFonts w:ascii="Arial" w:hAnsi="Arial" w:cs="Arial"/>
          <w:sz w:val="24"/>
        </w:rPr>
        <w:t xml:space="preserve">of </w:t>
      </w:r>
      <w:r>
        <w:rPr>
          <w:rFonts w:ascii="Arial" w:hAnsi="Arial" w:cs="Arial"/>
          <w:sz w:val="24"/>
        </w:rPr>
        <w:t>the dete</w:t>
      </w:r>
      <w:r w:rsidR="009E28AC">
        <w:rPr>
          <w:rFonts w:ascii="Arial" w:hAnsi="Arial" w:cs="Arial"/>
          <w:sz w:val="24"/>
        </w:rPr>
        <w:t>rmination of pension entitlement</w:t>
      </w:r>
      <w:r>
        <w:rPr>
          <w:rFonts w:ascii="Arial" w:hAnsi="Arial" w:cs="Arial"/>
          <w:sz w:val="24"/>
        </w:rPr>
        <w:t>.  This definition would no longer allow for room and board for independent living facilities to be considered a medical expense.</w:t>
      </w:r>
    </w:p>
    <w:p w:rsidR="00A676A2" w:rsidRDefault="00A676A2" w:rsidP="00A676A2">
      <w:pPr>
        <w:ind w:left="720"/>
        <w:rPr>
          <w:rFonts w:ascii="Arial" w:hAnsi="Arial" w:cs="Arial"/>
          <w:sz w:val="24"/>
        </w:rPr>
      </w:pPr>
    </w:p>
    <w:p w:rsidR="000B55E2" w:rsidRDefault="00A676A2" w:rsidP="00A676A2">
      <w:pPr>
        <w:ind w:left="360"/>
        <w:rPr>
          <w:rFonts w:ascii="Arial" w:hAnsi="Arial" w:cs="Arial"/>
          <w:sz w:val="24"/>
          <w:szCs w:val="24"/>
        </w:rPr>
      </w:pPr>
      <w:r>
        <w:rPr>
          <w:rFonts w:ascii="Arial" w:hAnsi="Arial" w:cs="Arial"/>
          <w:sz w:val="24"/>
        </w:rPr>
        <w:t>P&amp;F estimates that</w:t>
      </w:r>
      <w:r>
        <w:rPr>
          <w:rFonts w:ascii="Arial" w:hAnsi="Arial" w:cs="Arial"/>
          <w:sz w:val="24"/>
          <w:szCs w:val="24"/>
        </w:rPr>
        <w:t xml:space="preserve"> in 2.5 percent of Veteran and survivor pension cases, pension eligibility is based on deductions for room and board that would not be allowed under the proposed rule and that in 80 percent of those cases, pension benefits would be denied for excessive income.  These assumptions were applied to Veteran and survivor pension accession estimates (47,740 and 43,736, respectively in</w:t>
      </w:r>
      <w:r w:rsidR="009E28AC">
        <w:rPr>
          <w:rFonts w:ascii="Arial" w:hAnsi="Arial" w:cs="Arial"/>
          <w:sz w:val="24"/>
          <w:szCs w:val="24"/>
        </w:rPr>
        <w:t xml:space="preserve"> FY 2016) from the FY 2015 MSR b</w:t>
      </w:r>
      <w:r>
        <w:rPr>
          <w:rFonts w:ascii="Arial" w:hAnsi="Arial" w:cs="Arial"/>
          <w:sz w:val="24"/>
          <w:szCs w:val="24"/>
        </w:rPr>
        <w:t>udget to estimate</w:t>
      </w:r>
      <w:r w:rsidRPr="00F86EEC">
        <w:rPr>
          <w:rFonts w:ascii="Arial" w:hAnsi="Arial" w:cs="Arial"/>
          <w:sz w:val="24"/>
          <w:szCs w:val="24"/>
        </w:rPr>
        <w:t xml:space="preserve"> </w:t>
      </w:r>
      <w:r>
        <w:rPr>
          <w:rFonts w:ascii="Arial" w:hAnsi="Arial" w:cs="Arial"/>
          <w:sz w:val="24"/>
          <w:szCs w:val="24"/>
        </w:rPr>
        <w:t xml:space="preserve">the new pension applicants that would be affected each year.  </w:t>
      </w:r>
      <w:r>
        <w:rPr>
          <w:rFonts w:ascii="Arial" w:hAnsi="Arial" w:cs="Arial"/>
          <w:sz w:val="24"/>
        </w:rPr>
        <w:t xml:space="preserve">Termination rates from the FY 2015 MSR budget were applied to the caseload at the end of each year.  Savings were calculated by assuming that each applicant that would be denied for excessive income due to this proposed regulation would have received the </w:t>
      </w:r>
      <w:r>
        <w:rPr>
          <w:rFonts w:ascii="Arial" w:hAnsi="Arial" w:cs="Arial"/>
          <w:sz w:val="24"/>
          <w:szCs w:val="24"/>
        </w:rPr>
        <w:t>average annual payment rates for Veteran and survivor pension ($12,920 and $10,588, respectively</w:t>
      </w:r>
      <w:r w:rsidR="00D67310">
        <w:rPr>
          <w:rFonts w:ascii="Arial" w:hAnsi="Arial" w:cs="Arial"/>
          <w:sz w:val="24"/>
          <w:szCs w:val="24"/>
        </w:rPr>
        <w:t>,</w:t>
      </w:r>
      <w:r>
        <w:rPr>
          <w:rFonts w:ascii="Arial" w:hAnsi="Arial" w:cs="Arial"/>
          <w:sz w:val="24"/>
          <w:szCs w:val="24"/>
        </w:rPr>
        <w:t xml:space="preserve"> in </w:t>
      </w:r>
      <w:r w:rsidR="009E28AC">
        <w:rPr>
          <w:rFonts w:ascii="Arial" w:hAnsi="Arial" w:cs="Arial"/>
          <w:sz w:val="24"/>
          <w:szCs w:val="24"/>
        </w:rPr>
        <w:t>FY 2016), from the FY2015 MSR b</w:t>
      </w:r>
      <w:r>
        <w:rPr>
          <w:rFonts w:ascii="Arial" w:hAnsi="Arial" w:cs="Arial"/>
          <w:sz w:val="24"/>
          <w:szCs w:val="24"/>
        </w:rPr>
        <w:t>udget.</w:t>
      </w:r>
    </w:p>
    <w:p w:rsidR="002C0680" w:rsidRDefault="002C0680" w:rsidP="00571535">
      <w:pPr>
        <w:ind w:left="360"/>
        <w:rPr>
          <w:rFonts w:ascii="Arial" w:hAnsi="Arial" w:cs="Arial"/>
          <w:sz w:val="24"/>
          <w:szCs w:val="24"/>
        </w:rPr>
      </w:pPr>
    </w:p>
    <w:tbl>
      <w:tblPr>
        <w:tblW w:w="4627" w:type="dxa"/>
        <w:jc w:val="center"/>
        <w:tblLook w:val="04A0" w:firstRow="1" w:lastRow="0" w:firstColumn="1" w:lastColumn="0" w:noHBand="0" w:noVBand="1"/>
      </w:tblPr>
      <w:tblGrid>
        <w:gridCol w:w="1504"/>
        <w:gridCol w:w="1530"/>
        <w:gridCol w:w="1593"/>
      </w:tblGrid>
      <w:tr w:rsidR="00A676A2" w:rsidRPr="00DC57FC" w:rsidTr="00CB067D">
        <w:trPr>
          <w:trHeight w:val="315"/>
          <w:jc w:val="center"/>
        </w:trPr>
        <w:tc>
          <w:tcPr>
            <w:tcW w:w="462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76A2" w:rsidRPr="00DC57FC" w:rsidRDefault="00A676A2" w:rsidP="00CB067D">
            <w:pPr>
              <w:jc w:val="center"/>
              <w:rPr>
                <w:rFonts w:ascii="Arial" w:hAnsi="Arial" w:cs="Arial"/>
                <w:b/>
                <w:bCs/>
                <w:color w:val="000000"/>
                <w:sz w:val="22"/>
                <w:szCs w:val="22"/>
              </w:rPr>
            </w:pPr>
            <w:r w:rsidRPr="00DC57FC">
              <w:rPr>
                <w:rFonts w:ascii="Arial" w:hAnsi="Arial" w:cs="Arial"/>
                <w:b/>
                <w:bCs/>
                <w:color w:val="000000"/>
                <w:sz w:val="22"/>
                <w:szCs w:val="22"/>
              </w:rPr>
              <w:t>Income Dedu</w:t>
            </w:r>
            <w:r>
              <w:rPr>
                <w:rFonts w:ascii="Arial" w:hAnsi="Arial" w:cs="Arial"/>
                <w:b/>
                <w:bCs/>
                <w:color w:val="000000"/>
                <w:sz w:val="22"/>
                <w:szCs w:val="22"/>
              </w:rPr>
              <w:t>c</w:t>
            </w:r>
            <w:r w:rsidRPr="00DC57FC">
              <w:rPr>
                <w:rFonts w:ascii="Arial" w:hAnsi="Arial" w:cs="Arial"/>
                <w:b/>
                <w:bCs/>
                <w:color w:val="000000"/>
                <w:sz w:val="22"/>
                <w:szCs w:val="22"/>
              </w:rPr>
              <w:t>tions for Medical Expenses</w:t>
            </w:r>
          </w:p>
        </w:tc>
      </w:tr>
      <w:tr w:rsidR="00A676A2" w:rsidRPr="00DC57FC" w:rsidTr="00CB067D">
        <w:trPr>
          <w:trHeight w:val="315"/>
          <w:jc w:val="center"/>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b/>
                <w:bCs/>
                <w:color w:val="000000"/>
                <w:sz w:val="22"/>
                <w:szCs w:val="22"/>
              </w:rPr>
            </w:pPr>
            <w:r w:rsidRPr="00DC57FC">
              <w:rPr>
                <w:rFonts w:ascii="Arial" w:hAnsi="Arial" w:cs="Arial"/>
                <w:b/>
                <w:bCs/>
                <w:color w:val="000000"/>
                <w:sz w:val="22"/>
                <w:szCs w:val="22"/>
              </w:rPr>
              <w:t>Fiscal Year</w:t>
            </w:r>
          </w:p>
        </w:tc>
        <w:tc>
          <w:tcPr>
            <w:tcW w:w="1530"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b/>
                <w:bCs/>
                <w:color w:val="000000"/>
                <w:sz w:val="22"/>
                <w:szCs w:val="22"/>
              </w:rPr>
            </w:pPr>
            <w:r w:rsidRPr="00DC57FC">
              <w:rPr>
                <w:rFonts w:ascii="Arial" w:hAnsi="Arial" w:cs="Arial"/>
                <w:b/>
                <w:bCs/>
                <w:color w:val="000000"/>
                <w:sz w:val="22"/>
                <w:szCs w:val="22"/>
              </w:rPr>
              <w:t>Caseload</w:t>
            </w:r>
            <w:r>
              <w:rPr>
                <w:rFonts w:ascii="Arial" w:hAnsi="Arial" w:cs="Arial"/>
                <w:b/>
                <w:bCs/>
                <w:color w:val="000000"/>
                <w:sz w:val="22"/>
                <w:szCs w:val="22"/>
              </w:rPr>
              <w:t xml:space="preserve"> (-)</w:t>
            </w:r>
          </w:p>
        </w:tc>
        <w:tc>
          <w:tcPr>
            <w:tcW w:w="1593"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b/>
                <w:bCs/>
                <w:color w:val="000000"/>
                <w:sz w:val="22"/>
                <w:szCs w:val="22"/>
              </w:rPr>
            </w:pPr>
            <w:r w:rsidRPr="00DC57FC">
              <w:rPr>
                <w:rFonts w:ascii="Arial" w:hAnsi="Arial" w:cs="Arial"/>
                <w:b/>
                <w:bCs/>
                <w:color w:val="000000"/>
                <w:sz w:val="22"/>
                <w:szCs w:val="22"/>
              </w:rPr>
              <w:t>(Savings) ($000)</w:t>
            </w:r>
          </w:p>
        </w:tc>
      </w:tr>
      <w:tr w:rsidR="00A676A2" w:rsidRPr="00DC57FC" w:rsidTr="00CB067D">
        <w:trPr>
          <w:trHeight w:val="315"/>
          <w:jc w:val="center"/>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color w:val="000000"/>
                <w:sz w:val="22"/>
                <w:szCs w:val="22"/>
              </w:rPr>
            </w:pPr>
            <w:r w:rsidRPr="00DC57FC">
              <w:rPr>
                <w:rFonts w:ascii="Arial" w:hAnsi="Arial" w:cs="Arial"/>
                <w:color w:val="000000"/>
                <w:sz w:val="22"/>
                <w:szCs w:val="22"/>
              </w:rPr>
              <w:t>2016</w:t>
            </w:r>
          </w:p>
        </w:tc>
        <w:tc>
          <w:tcPr>
            <w:tcW w:w="1530"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color w:val="000000"/>
                <w:sz w:val="22"/>
                <w:szCs w:val="22"/>
              </w:rPr>
            </w:pPr>
            <w:r w:rsidRPr="00DC57FC">
              <w:rPr>
                <w:rFonts w:ascii="Arial" w:hAnsi="Arial" w:cs="Arial"/>
                <w:color w:val="000000"/>
                <w:sz w:val="22"/>
                <w:szCs w:val="22"/>
              </w:rPr>
              <w:t>(1,829)</w:t>
            </w:r>
          </w:p>
        </w:tc>
        <w:tc>
          <w:tcPr>
            <w:tcW w:w="1593"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 xml:space="preserve">  </w:t>
            </w:r>
            <w:r w:rsidRPr="00DC57FC">
              <w:rPr>
                <w:rFonts w:ascii="Arial" w:hAnsi="Arial" w:cs="Arial"/>
                <w:color w:val="000000"/>
                <w:sz w:val="22"/>
                <w:szCs w:val="22"/>
              </w:rPr>
              <w:t>($21,593)</w:t>
            </w:r>
          </w:p>
        </w:tc>
      </w:tr>
      <w:tr w:rsidR="00A676A2" w:rsidRPr="00DC57FC" w:rsidTr="00CB067D">
        <w:trPr>
          <w:trHeight w:val="315"/>
          <w:jc w:val="center"/>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color w:val="000000"/>
                <w:sz w:val="22"/>
                <w:szCs w:val="22"/>
              </w:rPr>
            </w:pPr>
            <w:r w:rsidRPr="00DC57FC">
              <w:rPr>
                <w:rFonts w:ascii="Arial" w:hAnsi="Arial" w:cs="Arial"/>
                <w:color w:val="000000"/>
                <w:sz w:val="22"/>
                <w:szCs w:val="22"/>
              </w:rPr>
              <w:t>2017</w:t>
            </w:r>
          </w:p>
        </w:tc>
        <w:tc>
          <w:tcPr>
            <w:tcW w:w="1530"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color w:val="000000"/>
                <w:sz w:val="22"/>
                <w:szCs w:val="22"/>
              </w:rPr>
            </w:pPr>
            <w:r w:rsidRPr="00DC57FC">
              <w:rPr>
                <w:rFonts w:ascii="Arial" w:hAnsi="Arial" w:cs="Arial"/>
                <w:color w:val="000000"/>
                <w:sz w:val="22"/>
                <w:szCs w:val="22"/>
              </w:rPr>
              <w:t>(3,354)</w:t>
            </w:r>
          </w:p>
        </w:tc>
        <w:tc>
          <w:tcPr>
            <w:tcW w:w="1593"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 xml:space="preserve">  </w:t>
            </w:r>
            <w:r w:rsidRPr="00DC57FC">
              <w:rPr>
                <w:rFonts w:ascii="Arial" w:hAnsi="Arial" w:cs="Arial"/>
                <w:color w:val="000000"/>
                <w:sz w:val="22"/>
                <w:szCs w:val="22"/>
              </w:rPr>
              <w:t>($42,425)</w:t>
            </w:r>
          </w:p>
        </w:tc>
      </w:tr>
      <w:tr w:rsidR="00A676A2" w:rsidRPr="00DC57FC" w:rsidTr="00CB067D">
        <w:trPr>
          <w:trHeight w:val="315"/>
          <w:jc w:val="center"/>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color w:val="000000"/>
                <w:sz w:val="22"/>
                <w:szCs w:val="22"/>
              </w:rPr>
            </w:pPr>
            <w:r w:rsidRPr="00DC57FC">
              <w:rPr>
                <w:rFonts w:ascii="Arial" w:hAnsi="Arial" w:cs="Arial"/>
                <w:color w:val="000000"/>
                <w:sz w:val="22"/>
                <w:szCs w:val="22"/>
              </w:rPr>
              <w:t>2018</w:t>
            </w:r>
          </w:p>
        </w:tc>
        <w:tc>
          <w:tcPr>
            <w:tcW w:w="1530"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color w:val="000000"/>
                <w:sz w:val="22"/>
                <w:szCs w:val="22"/>
              </w:rPr>
            </w:pPr>
            <w:r w:rsidRPr="00DC57FC">
              <w:rPr>
                <w:rFonts w:ascii="Arial" w:hAnsi="Arial" w:cs="Arial"/>
                <w:color w:val="000000"/>
                <w:sz w:val="22"/>
                <w:szCs w:val="22"/>
              </w:rPr>
              <w:t>(4,630)</w:t>
            </w:r>
          </w:p>
        </w:tc>
        <w:tc>
          <w:tcPr>
            <w:tcW w:w="1593"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 xml:space="preserve">  </w:t>
            </w:r>
            <w:r w:rsidRPr="00DC57FC">
              <w:rPr>
                <w:rFonts w:ascii="Arial" w:hAnsi="Arial" w:cs="Arial"/>
                <w:color w:val="000000"/>
                <w:sz w:val="22"/>
                <w:szCs w:val="22"/>
              </w:rPr>
              <w:t>($62,829)</w:t>
            </w:r>
          </w:p>
        </w:tc>
      </w:tr>
      <w:tr w:rsidR="00A676A2" w:rsidRPr="00DC57FC" w:rsidTr="00CB067D">
        <w:trPr>
          <w:trHeight w:val="315"/>
          <w:jc w:val="center"/>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color w:val="000000"/>
                <w:sz w:val="22"/>
                <w:szCs w:val="22"/>
              </w:rPr>
            </w:pPr>
            <w:r w:rsidRPr="00DC57FC">
              <w:rPr>
                <w:rFonts w:ascii="Arial" w:hAnsi="Arial" w:cs="Arial"/>
                <w:color w:val="000000"/>
                <w:sz w:val="22"/>
                <w:szCs w:val="22"/>
              </w:rPr>
              <w:t>2019</w:t>
            </w:r>
          </w:p>
        </w:tc>
        <w:tc>
          <w:tcPr>
            <w:tcW w:w="1530"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color w:val="000000"/>
                <w:sz w:val="22"/>
                <w:szCs w:val="22"/>
              </w:rPr>
            </w:pPr>
            <w:r w:rsidRPr="00DC57FC">
              <w:rPr>
                <w:rFonts w:ascii="Arial" w:hAnsi="Arial" w:cs="Arial"/>
                <w:color w:val="000000"/>
                <w:sz w:val="22"/>
                <w:szCs w:val="22"/>
              </w:rPr>
              <w:t>(5,694)</w:t>
            </w:r>
          </w:p>
        </w:tc>
        <w:tc>
          <w:tcPr>
            <w:tcW w:w="1593"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ind w:firstLineChars="100" w:firstLine="220"/>
              <w:jc w:val="center"/>
              <w:rPr>
                <w:rFonts w:ascii="Arial" w:hAnsi="Arial" w:cs="Arial"/>
                <w:color w:val="000000"/>
                <w:sz w:val="22"/>
                <w:szCs w:val="22"/>
              </w:rPr>
            </w:pPr>
            <w:r>
              <w:rPr>
                <w:rFonts w:ascii="Arial" w:hAnsi="Arial" w:cs="Arial"/>
                <w:color w:val="000000"/>
                <w:sz w:val="22"/>
                <w:szCs w:val="22"/>
              </w:rPr>
              <w:t xml:space="preserve">  </w:t>
            </w:r>
            <w:r w:rsidRPr="00DC57FC">
              <w:rPr>
                <w:rFonts w:ascii="Arial" w:hAnsi="Arial" w:cs="Arial"/>
                <w:color w:val="000000"/>
                <w:sz w:val="22"/>
                <w:szCs w:val="22"/>
              </w:rPr>
              <w:t>($83,001)</w:t>
            </w:r>
          </w:p>
        </w:tc>
      </w:tr>
      <w:tr w:rsidR="00A676A2" w:rsidRPr="00DC57FC" w:rsidTr="00CB067D">
        <w:trPr>
          <w:trHeight w:val="315"/>
          <w:jc w:val="center"/>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color w:val="000000"/>
                <w:sz w:val="22"/>
                <w:szCs w:val="22"/>
              </w:rPr>
            </w:pPr>
            <w:r w:rsidRPr="00DC57FC">
              <w:rPr>
                <w:rFonts w:ascii="Arial" w:hAnsi="Arial" w:cs="Arial"/>
                <w:color w:val="000000"/>
                <w:sz w:val="22"/>
                <w:szCs w:val="22"/>
              </w:rPr>
              <w:t>2020</w:t>
            </w:r>
          </w:p>
        </w:tc>
        <w:tc>
          <w:tcPr>
            <w:tcW w:w="1530"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color w:val="000000"/>
                <w:sz w:val="22"/>
                <w:szCs w:val="22"/>
              </w:rPr>
            </w:pPr>
            <w:r w:rsidRPr="00DC57FC">
              <w:rPr>
                <w:rFonts w:ascii="Arial" w:hAnsi="Arial" w:cs="Arial"/>
                <w:color w:val="000000"/>
                <w:sz w:val="22"/>
                <w:szCs w:val="22"/>
              </w:rPr>
              <w:t>(6,589)</w:t>
            </w:r>
          </w:p>
        </w:tc>
        <w:tc>
          <w:tcPr>
            <w:tcW w:w="1593"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CB067D">
            <w:pPr>
              <w:ind w:firstLineChars="100" w:firstLine="220"/>
              <w:jc w:val="center"/>
              <w:rPr>
                <w:rFonts w:ascii="Arial" w:hAnsi="Arial" w:cs="Arial"/>
                <w:color w:val="000000"/>
                <w:sz w:val="22"/>
                <w:szCs w:val="22"/>
              </w:rPr>
            </w:pPr>
            <w:r w:rsidRPr="00DC57FC">
              <w:rPr>
                <w:rFonts w:ascii="Arial" w:hAnsi="Arial" w:cs="Arial"/>
                <w:color w:val="000000"/>
                <w:sz w:val="22"/>
                <w:szCs w:val="22"/>
              </w:rPr>
              <w:t>($103,313)</w:t>
            </w:r>
          </w:p>
        </w:tc>
      </w:tr>
      <w:tr w:rsidR="00A676A2" w:rsidRPr="00DC57FC" w:rsidTr="00CB067D">
        <w:trPr>
          <w:trHeight w:val="315"/>
          <w:jc w:val="center"/>
        </w:trPr>
        <w:tc>
          <w:tcPr>
            <w:tcW w:w="1504" w:type="dxa"/>
            <w:tcBorders>
              <w:top w:val="nil"/>
              <w:left w:val="single" w:sz="8" w:space="0" w:color="auto"/>
              <w:bottom w:val="single" w:sz="8" w:space="0" w:color="auto"/>
              <w:right w:val="single" w:sz="8" w:space="0" w:color="auto"/>
            </w:tcBorders>
            <w:shd w:val="clear" w:color="auto" w:fill="auto"/>
            <w:noWrap/>
            <w:vAlign w:val="center"/>
            <w:hideMark/>
          </w:tcPr>
          <w:p w:rsidR="00A676A2" w:rsidRPr="00DC57FC" w:rsidRDefault="00A676A2" w:rsidP="00CB067D">
            <w:pPr>
              <w:jc w:val="center"/>
              <w:rPr>
                <w:rFonts w:ascii="Arial" w:hAnsi="Arial" w:cs="Arial"/>
                <w:b/>
                <w:bCs/>
                <w:color w:val="000000"/>
                <w:sz w:val="22"/>
                <w:szCs w:val="22"/>
              </w:rPr>
            </w:pPr>
            <w:r w:rsidRPr="00DC57FC">
              <w:rPr>
                <w:rFonts w:ascii="Arial" w:hAnsi="Arial" w:cs="Arial"/>
                <w:b/>
                <w:bCs/>
                <w:color w:val="000000"/>
                <w:sz w:val="22"/>
                <w:szCs w:val="22"/>
              </w:rPr>
              <w:t>5-Year Total</w:t>
            </w:r>
          </w:p>
        </w:tc>
        <w:tc>
          <w:tcPr>
            <w:tcW w:w="1530"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F950CD">
            <w:pPr>
              <w:ind w:firstLineChars="100" w:firstLine="221"/>
              <w:jc w:val="right"/>
              <w:rPr>
                <w:rFonts w:ascii="Arial" w:hAnsi="Arial" w:cs="Arial"/>
                <w:b/>
                <w:bCs/>
                <w:color w:val="000000"/>
                <w:sz w:val="22"/>
                <w:szCs w:val="22"/>
              </w:rPr>
            </w:pPr>
            <w:r w:rsidRPr="00DC57FC">
              <w:rPr>
                <w:rFonts w:ascii="Arial" w:hAnsi="Arial" w:cs="Arial"/>
                <w:b/>
                <w:bCs/>
                <w:color w:val="000000"/>
                <w:sz w:val="22"/>
                <w:szCs w:val="22"/>
              </w:rPr>
              <w:t> </w:t>
            </w:r>
          </w:p>
        </w:tc>
        <w:tc>
          <w:tcPr>
            <w:tcW w:w="1593" w:type="dxa"/>
            <w:tcBorders>
              <w:top w:val="nil"/>
              <w:left w:val="nil"/>
              <w:bottom w:val="single" w:sz="8" w:space="0" w:color="auto"/>
              <w:right w:val="single" w:sz="8" w:space="0" w:color="auto"/>
            </w:tcBorders>
            <w:shd w:val="clear" w:color="auto" w:fill="auto"/>
            <w:noWrap/>
            <w:vAlign w:val="center"/>
            <w:hideMark/>
          </w:tcPr>
          <w:p w:rsidR="00A676A2" w:rsidRPr="00DC57FC" w:rsidRDefault="00A676A2" w:rsidP="00F950CD">
            <w:pPr>
              <w:ind w:firstLineChars="100" w:firstLine="221"/>
              <w:jc w:val="center"/>
              <w:rPr>
                <w:rFonts w:ascii="Arial" w:hAnsi="Arial" w:cs="Arial"/>
                <w:b/>
                <w:bCs/>
                <w:color w:val="000000"/>
                <w:sz w:val="22"/>
                <w:szCs w:val="22"/>
              </w:rPr>
            </w:pPr>
            <w:r w:rsidRPr="00DC57FC">
              <w:rPr>
                <w:rFonts w:ascii="Arial" w:hAnsi="Arial" w:cs="Arial"/>
                <w:b/>
                <w:bCs/>
                <w:color w:val="000000"/>
                <w:sz w:val="22"/>
                <w:szCs w:val="22"/>
              </w:rPr>
              <w:t>($313,160)</w:t>
            </w:r>
          </w:p>
        </w:tc>
      </w:tr>
    </w:tbl>
    <w:p w:rsidR="000B55E2" w:rsidRDefault="000B55E2" w:rsidP="00571535">
      <w:pPr>
        <w:ind w:left="360"/>
        <w:rPr>
          <w:rFonts w:ascii="Arial" w:hAnsi="Arial" w:cs="Arial"/>
          <w:sz w:val="24"/>
          <w:szCs w:val="24"/>
        </w:rPr>
      </w:pPr>
    </w:p>
    <w:p w:rsidR="00A676A2" w:rsidRDefault="00A676A2" w:rsidP="00571535">
      <w:pPr>
        <w:ind w:left="360"/>
        <w:rPr>
          <w:rFonts w:ascii="Arial" w:hAnsi="Arial" w:cs="Arial"/>
          <w:sz w:val="24"/>
          <w:szCs w:val="24"/>
        </w:rPr>
      </w:pPr>
      <w:r>
        <w:rPr>
          <w:rFonts w:ascii="Arial" w:hAnsi="Arial"/>
          <w:sz w:val="24"/>
          <w:u w:val="single"/>
        </w:rPr>
        <w:t>Administrative Costs</w:t>
      </w:r>
      <w:r w:rsidRPr="00A676A2">
        <w:rPr>
          <w:rFonts w:ascii="Arial" w:hAnsi="Arial"/>
          <w:sz w:val="24"/>
        </w:rPr>
        <w:t xml:space="preserve">. </w:t>
      </w:r>
      <w:r>
        <w:rPr>
          <w:rFonts w:ascii="Arial" w:hAnsi="Arial"/>
          <w:sz w:val="24"/>
        </w:rPr>
        <w:t>P&amp;F Service assumes that efficiencies gained in processing pension claims and any resulting</w:t>
      </w:r>
      <w:r w:rsidR="00464C94">
        <w:rPr>
          <w:rFonts w:ascii="Arial" w:hAnsi="Arial"/>
          <w:sz w:val="24"/>
        </w:rPr>
        <w:t xml:space="preserve"> general operating expense</w:t>
      </w:r>
      <w:r>
        <w:rPr>
          <w:rFonts w:ascii="Arial" w:hAnsi="Arial"/>
          <w:sz w:val="24"/>
        </w:rPr>
        <w:t xml:space="preserve"> </w:t>
      </w:r>
      <w:r w:rsidR="00EE4D68">
        <w:rPr>
          <w:rFonts w:ascii="Arial" w:hAnsi="Arial"/>
          <w:sz w:val="24"/>
        </w:rPr>
        <w:t>(</w:t>
      </w:r>
      <w:r>
        <w:rPr>
          <w:rFonts w:ascii="Arial" w:hAnsi="Arial"/>
          <w:sz w:val="24"/>
        </w:rPr>
        <w:t>GOE</w:t>
      </w:r>
      <w:r w:rsidR="00EE4D68">
        <w:rPr>
          <w:rFonts w:ascii="Arial" w:hAnsi="Arial"/>
          <w:sz w:val="24"/>
        </w:rPr>
        <w:t>)</w:t>
      </w:r>
      <w:r>
        <w:rPr>
          <w:rFonts w:ascii="Arial" w:hAnsi="Arial"/>
          <w:sz w:val="24"/>
        </w:rPr>
        <w:t xml:space="preserve"> savings would be minimal.  Any efficiencies gained</w:t>
      </w:r>
      <w:r w:rsidRPr="00FE1F86">
        <w:rPr>
          <w:rFonts w:ascii="Arial" w:hAnsi="Arial"/>
          <w:sz w:val="24"/>
        </w:rPr>
        <w:t xml:space="preserve"> </w:t>
      </w:r>
      <w:r>
        <w:rPr>
          <w:rFonts w:ascii="Arial" w:hAnsi="Arial"/>
          <w:sz w:val="24"/>
        </w:rPr>
        <w:t>could result in improved timeliness in processing pension claims.</w:t>
      </w:r>
    </w:p>
    <w:p w:rsidR="00A676A2" w:rsidRDefault="00A676A2" w:rsidP="00571535">
      <w:pPr>
        <w:ind w:left="360"/>
        <w:rPr>
          <w:rFonts w:ascii="Arial" w:hAnsi="Arial" w:cs="Arial"/>
          <w:sz w:val="24"/>
          <w:szCs w:val="24"/>
        </w:rPr>
      </w:pPr>
    </w:p>
    <w:p w:rsidR="00A676A2" w:rsidRDefault="00A676A2" w:rsidP="00571535">
      <w:pPr>
        <w:ind w:left="360"/>
        <w:rPr>
          <w:rFonts w:ascii="Arial" w:hAnsi="Arial" w:cs="Arial"/>
          <w:sz w:val="24"/>
          <w:szCs w:val="24"/>
        </w:rPr>
      </w:pPr>
    </w:p>
    <w:p w:rsidR="009D68B7" w:rsidRDefault="009D68B7" w:rsidP="00571535">
      <w:pPr>
        <w:ind w:left="360"/>
        <w:rPr>
          <w:rFonts w:ascii="Arial" w:hAnsi="Arial" w:cs="Arial"/>
          <w:sz w:val="24"/>
          <w:szCs w:val="24"/>
        </w:rPr>
      </w:pPr>
    </w:p>
    <w:p w:rsidR="000B55E2" w:rsidRDefault="000B55E2" w:rsidP="00571535">
      <w:pPr>
        <w:ind w:left="360"/>
        <w:rPr>
          <w:rFonts w:ascii="Arial" w:hAnsi="Arial" w:cs="Arial"/>
          <w:sz w:val="24"/>
          <w:szCs w:val="24"/>
        </w:rPr>
      </w:pPr>
      <w:r>
        <w:rPr>
          <w:rFonts w:ascii="Arial" w:hAnsi="Arial" w:cs="Arial"/>
          <w:sz w:val="24"/>
          <w:szCs w:val="24"/>
        </w:rPr>
        <w:lastRenderedPageBreak/>
        <w:t>Submitted by:</w:t>
      </w:r>
    </w:p>
    <w:p w:rsidR="000B55E2" w:rsidRDefault="000B55E2" w:rsidP="00571535">
      <w:pPr>
        <w:ind w:left="360"/>
        <w:rPr>
          <w:rFonts w:ascii="Arial" w:hAnsi="Arial" w:cs="Arial"/>
          <w:sz w:val="24"/>
          <w:szCs w:val="24"/>
        </w:rPr>
      </w:pPr>
      <w:r>
        <w:rPr>
          <w:rFonts w:ascii="Arial" w:hAnsi="Arial" w:cs="Arial"/>
          <w:sz w:val="24"/>
          <w:szCs w:val="24"/>
        </w:rPr>
        <w:t>Martha Schimpf, Pension and Fiduciary Service (21P</w:t>
      </w:r>
      <w:r w:rsidR="00D248FD">
        <w:rPr>
          <w:rFonts w:ascii="Arial" w:hAnsi="Arial" w:cs="Arial"/>
          <w:sz w:val="24"/>
          <w:szCs w:val="24"/>
        </w:rPr>
        <w:t>F</w:t>
      </w:r>
      <w:r>
        <w:rPr>
          <w:rFonts w:ascii="Arial" w:hAnsi="Arial" w:cs="Arial"/>
          <w:sz w:val="24"/>
          <w:szCs w:val="24"/>
        </w:rPr>
        <w:t>)</w:t>
      </w:r>
    </w:p>
    <w:p w:rsidR="000B55E2" w:rsidRDefault="000B55E2" w:rsidP="00571535">
      <w:pPr>
        <w:ind w:left="360"/>
        <w:rPr>
          <w:rFonts w:ascii="Arial" w:hAnsi="Arial" w:cs="Arial"/>
          <w:sz w:val="24"/>
          <w:szCs w:val="24"/>
        </w:rPr>
      </w:pPr>
      <w:r>
        <w:rPr>
          <w:rFonts w:ascii="Arial" w:hAnsi="Arial" w:cs="Arial"/>
          <w:sz w:val="24"/>
          <w:szCs w:val="24"/>
        </w:rPr>
        <w:t>Brad Dutton, ORM Benefits Budget Division (24)</w:t>
      </w:r>
    </w:p>
    <w:p w:rsidR="000B55E2" w:rsidRDefault="000B55E2" w:rsidP="00571535">
      <w:pPr>
        <w:ind w:left="360"/>
        <w:rPr>
          <w:rFonts w:ascii="Arial" w:hAnsi="Arial" w:cs="Arial"/>
          <w:sz w:val="24"/>
          <w:szCs w:val="24"/>
        </w:rPr>
      </w:pPr>
      <w:r>
        <w:rPr>
          <w:rFonts w:ascii="Arial" w:hAnsi="Arial" w:cs="Arial"/>
          <w:sz w:val="24"/>
          <w:szCs w:val="24"/>
        </w:rPr>
        <w:t>Washington, DC 20420</w:t>
      </w:r>
    </w:p>
    <w:p w:rsidR="000B55E2" w:rsidRDefault="00F15A2A" w:rsidP="00571535">
      <w:pPr>
        <w:ind w:left="360"/>
        <w:rPr>
          <w:rFonts w:ascii="Arial" w:hAnsi="Arial" w:cs="Arial"/>
          <w:sz w:val="24"/>
          <w:szCs w:val="24"/>
        </w:rPr>
      </w:pPr>
      <w:r>
        <w:rPr>
          <w:rFonts w:ascii="Arial" w:hAnsi="Arial" w:cs="Arial"/>
          <w:sz w:val="24"/>
          <w:szCs w:val="24"/>
        </w:rPr>
        <w:t>November 18</w:t>
      </w:r>
      <w:r w:rsidR="009E28AC">
        <w:rPr>
          <w:rFonts w:ascii="Arial" w:hAnsi="Arial" w:cs="Arial"/>
          <w:sz w:val="24"/>
          <w:szCs w:val="24"/>
        </w:rPr>
        <w:t>, 2014</w:t>
      </w: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845044" w:rsidP="00571535">
      <w:pPr>
        <w:ind w:left="360"/>
        <w:rPr>
          <w:rFonts w:ascii="Arial" w:hAnsi="Arial" w:cs="Arial"/>
          <w:sz w:val="24"/>
          <w:szCs w:val="24"/>
        </w:rPr>
      </w:pPr>
    </w:p>
    <w:p w:rsidR="00845044" w:rsidRDefault="006C7C39" w:rsidP="00571535">
      <w:pPr>
        <w:ind w:left="360"/>
        <w:rPr>
          <w:rFonts w:ascii="Arial" w:hAnsi="Arial" w:cs="Arial"/>
          <w:sz w:val="24"/>
          <w:szCs w:val="24"/>
        </w:rPr>
      </w:pPr>
      <w:r>
        <w:rPr>
          <w:rFonts w:ascii="Arial" w:hAnsi="Arial" w:cs="Arial"/>
          <w:noProof/>
          <w:sz w:val="24"/>
          <w:szCs w:val="24"/>
        </w:rPr>
        <w:lastRenderedPageBreak/>
        <w:drawing>
          <wp:inline distT="0" distB="0" distL="0" distR="0">
            <wp:extent cx="5476240" cy="7865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7865110"/>
                    </a:xfrm>
                    <a:prstGeom prst="rect">
                      <a:avLst/>
                    </a:prstGeom>
                    <a:noFill/>
                    <a:ln>
                      <a:noFill/>
                    </a:ln>
                  </pic:spPr>
                </pic:pic>
              </a:graphicData>
            </a:graphic>
          </wp:inline>
        </w:drawing>
      </w:r>
    </w:p>
    <w:sectPr w:rsidR="00845044">
      <w:headerReference w:type="default" r:id="rId12"/>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E9" w:rsidRDefault="00E421E9">
      <w:r>
        <w:separator/>
      </w:r>
    </w:p>
  </w:endnote>
  <w:endnote w:type="continuationSeparator" w:id="0">
    <w:p w:rsidR="00E421E9" w:rsidRDefault="00E4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07" w:rsidRDefault="00D57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D07" w:rsidRDefault="00D5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D07" w:rsidRDefault="00D57D07">
    <w:pPr>
      <w:pStyle w:val="Footer"/>
      <w:framePr w:wrap="around" w:vAnchor="text" w:hAnchor="margin" w:xAlign="right" w:y="1"/>
      <w:rPr>
        <w:rStyle w:val="PageNumber"/>
      </w:rPr>
    </w:pPr>
  </w:p>
  <w:p w:rsidR="00D57D07" w:rsidRDefault="00D57D07" w:rsidP="00BA51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E9" w:rsidRDefault="00E421E9">
      <w:r>
        <w:separator/>
      </w:r>
    </w:p>
  </w:footnote>
  <w:footnote w:type="continuationSeparator" w:id="0">
    <w:p w:rsidR="00E421E9" w:rsidRDefault="00E421E9">
      <w:r>
        <w:continuationSeparator/>
      </w:r>
    </w:p>
  </w:footnote>
  <w:footnote w:id="1">
    <w:p w:rsidR="00022C99" w:rsidRDefault="00022C99">
      <w:pPr>
        <w:pStyle w:val="FootnoteText"/>
        <w:rPr>
          <w:rFonts w:ascii="Arial" w:hAnsi="Arial" w:cs="Arial"/>
        </w:rPr>
      </w:pPr>
      <w:r w:rsidRPr="00022C99">
        <w:rPr>
          <w:rStyle w:val="FootnoteReference"/>
          <w:rFonts w:ascii="Arial" w:hAnsi="Arial" w:cs="Arial"/>
        </w:rPr>
        <w:footnoteRef/>
      </w:r>
      <w:r w:rsidRPr="00022C99">
        <w:rPr>
          <w:rFonts w:ascii="Arial" w:hAnsi="Arial" w:cs="Arial"/>
        </w:rPr>
        <w:t xml:space="preserve"> There are reasons to believe these impacts could be overestimated or underestimated.  If, under the current system, applicants respond to </w:t>
      </w:r>
      <w:r w:rsidR="008B600B">
        <w:rPr>
          <w:rFonts w:ascii="Arial" w:hAnsi="Arial" w:cs="Arial"/>
        </w:rPr>
        <w:t>d</w:t>
      </w:r>
      <w:r w:rsidRPr="00022C99">
        <w:rPr>
          <w:rFonts w:ascii="Arial" w:hAnsi="Arial" w:cs="Arial"/>
        </w:rPr>
        <w:t>enial</w:t>
      </w:r>
      <w:r w:rsidR="008B600B">
        <w:rPr>
          <w:rFonts w:ascii="Arial" w:hAnsi="Arial" w:cs="Arial"/>
        </w:rPr>
        <w:t>s</w:t>
      </w:r>
      <w:r w:rsidRPr="00022C99">
        <w:rPr>
          <w:rFonts w:ascii="Arial" w:hAnsi="Arial" w:cs="Arial"/>
        </w:rPr>
        <w:t xml:space="preserve"> by trying again each year until they are granted a pension, then the year-to-year increases shown in the table may be overestimated for two different reasons—first, even in the absence of this rule, some of the applicants denied in the first year would eventually be granted a pension, and second, the number of second-year denials would be below the baseline level of 1,100 because the repeat applicants would have been granted pensions in the first year.  On the other hand, </w:t>
      </w:r>
      <w:r>
        <w:rPr>
          <w:rFonts w:ascii="Arial" w:hAnsi="Arial" w:cs="Arial"/>
        </w:rPr>
        <w:t>i</w:t>
      </w:r>
      <w:r w:rsidRPr="00022C99">
        <w:rPr>
          <w:rFonts w:ascii="Arial" w:hAnsi="Arial" w:cs="Arial"/>
        </w:rPr>
        <w:t>f the 1,100-1,200 annual level includes very few repeat applicants, then</w:t>
      </w:r>
      <w:r>
        <w:rPr>
          <w:rFonts w:ascii="Arial" w:hAnsi="Arial" w:cs="Arial"/>
        </w:rPr>
        <w:t xml:space="preserve"> </w:t>
      </w:r>
      <w:r w:rsidRPr="00022C99">
        <w:rPr>
          <w:rFonts w:ascii="Arial" w:hAnsi="Arial" w:cs="Arial"/>
        </w:rPr>
        <w:t xml:space="preserve">the projected growth from year to year may be reasonable.  </w:t>
      </w:r>
      <w:r w:rsidR="00602D49">
        <w:rPr>
          <w:rFonts w:ascii="Arial" w:hAnsi="Arial" w:cs="Arial"/>
        </w:rPr>
        <w:t xml:space="preserve">(Indeed, </w:t>
      </w:r>
      <w:r w:rsidR="00602D49" w:rsidRPr="00022C99">
        <w:rPr>
          <w:rFonts w:ascii="Arial" w:hAnsi="Arial" w:cs="Arial"/>
        </w:rPr>
        <w:t>VA</w:t>
      </w:r>
      <w:r w:rsidR="00602D49">
        <w:rPr>
          <w:rFonts w:ascii="Arial" w:hAnsi="Arial" w:cs="Arial"/>
        </w:rPr>
        <w:t>’s experience has been that</w:t>
      </w:r>
      <w:r w:rsidR="00602D49" w:rsidRPr="00022C99">
        <w:rPr>
          <w:rFonts w:ascii="Arial" w:hAnsi="Arial" w:cs="Arial"/>
        </w:rPr>
        <w:t xml:space="preserve"> roughly </w:t>
      </w:r>
      <w:r w:rsidR="00602D49" w:rsidRPr="00022C99">
        <w:rPr>
          <w:rFonts w:ascii="Arial" w:eastAsia="Arial Unicode MS" w:hAnsi="Arial" w:cs="Arial"/>
          <w:lang w:eastAsia="hi-IN" w:bidi="hi-IN"/>
        </w:rPr>
        <w:t>50</w:t>
      </w:r>
      <w:r w:rsidR="00602D49">
        <w:rPr>
          <w:rFonts w:ascii="Arial" w:eastAsia="Arial Unicode MS" w:hAnsi="Arial" w:cs="Arial"/>
          <w:lang w:eastAsia="hi-IN" w:bidi="hi-IN"/>
        </w:rPr>
        <w:t xml:space="preserve"> percent</w:t>
      </w:r>
      <w:r w:rsidR="00602D49" w:rsidRPr="00022C99">
        <w:rPr>
          <w:rFonts w:ascii="Arial" w:eastAsia="Arial Unicode MS" w:hAnsi="Arial" w:cs="Arial"/>
          <w:lang w:eastAsia="hi-IN" w:bidi="hi-IN"/>
        </w:rPr>
        <w:t xml:space="preserve"> of applicants denied benefits on the basis of net worth will at some point re-apply and</w:t>
      </w:r>
      <w:r w:rsidR="00602D49">
        <w:rPr>
          <w:rFonts w:ascii="Arial" w:eastAsia="Arial Unicode MS" w:hAnsi="Arial" w:cs="Arial"/>
          <w:lang w:eastAsia="hi-IN" w:bidi="hi-IN"/>
        </w:rPr>
        <w:t>,</w:t>
      </w:r>
      <w:r w:rsidR="00602D49" w:rsidRPr="00022C99">
        <w:rPr>
          <w:rFonts w:ascii="Arial" w:eastAsia="Arial Unicode MS" w:hAnsi="Arial" w:cs="Arial"/>
          <w:lang w:eastAsia="hi-IN" w:bidi="hi-IN"/>
        </w:rPr>
        <w:t xml:space="preserve"> of those</w:t>
      </w:r>
      <w:r w:rsidR="00602D49">
        <w:rPr>
          <w:rFonts w:ascii="Arial" w:eastAsia="Arial Unicode MS" w:hAnsi="Arial" w:cs="Arial"/>
          <w:lang w:eastAsia="hi-IN" w:bidi="hi-IN"/>
        </w:rPr>
        <w:t>,</w:t>
      </w:r>
      <w:r w:rsidR="00602D49" w:rsidRPr="00022C99">
        <w:rPr>
          <w:rFonts w:ascii="Arial" w:eastAsia="Arial Unicode MS" w:hAnsi="Arial" w:cs="Arial"/>
          <w:lang w:eastAsia="hi-IN" w:bidi="hi-IN"/>
        </w:rPr>
        <w:t xml:space="preserve"> only 10</w:t>
      </w:r>
      <w:r w:rsidR="00602D49">
        <w:rPr>
          <w:rFonts w:ascii="Arial" w:eastAsia="Arial Unicode MS" w:hAnsi="Arial" w:cs="Arial"/>
          <w:lang w:eastAsia="hi-IN" w:bidi="hi-IN"/>
        </w:rPr>
        <w:t xml:space="preserve"> percent</w:t>
      </w:r>
      <w:r w:rsidR="00602D49" w:rsidRPr="00022C99">
        <w:rPr>
          <w:rFonts w:ascii="Arial" w:eastAsia="Arial Unicode MS" w:hAnsi="Arial" w:cs="Arial"/>
          <w:lang w:eastAsia="hi-IN" w:bidi="hi-IN"/>
        </w:rPr>
        <w:t xml:space="preserve"> will apply annually until their net worth is low enough.</w:t>
      </w:r>
      <w:r w:rsidR="00602D49">
        <w:rPr>
          <w:rFonts w:ascii="Arial" w:eastAsia="Arial Unicode MS" w:hAnsi="Arial" w:cs="Arial"/>
          <w:lang w:eastAsia="hi-IN" w:bidi="hi-IN"/>
        </w:rPr>
        <w:t xml:space="preserve">)  </w:t>
      </w:r>
      <w:r w:rsidRPr="00022C99">
        <w:rPr>
          <w:rFonts w:ascii="Arial" w:hAnsi="Arial" w:cs="Arial"/>
        </w:rPr>
        <w:t>However,</w:t>
      </w:r>
      <w:r w:rsidR="00602D49">
        <w:rPr>
          <w:rFonts w:ascii="Arial" w:hAnsi="Arial" w:cs="Arial"/>
        </w:rPr>
        <w:t xml:space="preserve"> in this case,</w:t>
      </w:r>
      <w:r w:rsidRPr="00022C99">
        <w:rPr>
          <w:rFonts w:ascii="Arial" w:hAnsi="Arial" w:cs="Arial"/>
        </w:rPr>
        <w:t xml:space="preserve"> there </w:t>
      </w:r>
      <w:r>
        <w:rPr>
          <w:rFonts w:ascii="Arial" w:hAnsi="Arial" w:cs="Arial"/>
        </w:rPr>
        <w:t>c</w:t>
      </w:r>
      <w:r w:rsidRPr="00022C99">
        <w:rPr>
          <w:rFonts w:ascii="Arial" w:hAnsi="Arial" w:cs="Arial"/>
        </w:rPr>
        <w:t>ould be a backlog of previously-denied cases that would seek a pension immediately upon finalization because this rule now clarifies that they are eligible—thus producing a bigger estimate for 2016 than what is shown in the table.</w:t>
      </w:r>
    </w:p>
    <w:p w:rsidR="000229C2" w:rsidRDefault="000229C2">
      <w:pPr>
        <w:pStyle w:val="FootnoteText"/>
        <w:rPr>
          <w:rFonts w:ascii="Arial" w:hAnsi="Arial" w:cs="Arial"/>
        </w:rPr>
      </w:pPr>
    </w:p>
    <w:p w:rsidR="000229C2" w:rsidRDefault="000229C2">
      <w:pPr>
        <w:pStyle w:val="FootnoteText"/>
        <w:rPr>
          <w:rFonts w:ascii="Arial" w:hAnsi="Arial" w:cs="Arial"/>
        </w:rPr>
      </w:pPr>
    </w:p>
    <w:p w:rsidR="000229C2" w:rsidRDefault="000229C2">
      <w:pPr>
        <w:pStyle w:val="FootnoteText"/>
        <w:rPr>
          <w:rFonts w:ascii="Arial" w:hAnsi="Arial" w:cs="Arial"/>
        </w:rPr>
      </w:pPr>
    </w:p>
    <w:p w:rsidR="000229C2" w:rsidRDefault="000229C2">
      <w:pPr>
        <w:pStyle w:val="FootnoteText"/>
        <w:rPr>
          <w:rFonts w:ascii="Arial" w:hAnsi="Arial" w:cs="Arial"/>
        </w:rPr>
      </w:pPr>
    </w:p>
    <w:p w:rsidR="000229C2" w:rsidRDefault="000229C2">
      <w:pPr>
        <w:pStyle w:val="FootnoteText"/>
        <w:rPr>
          <w:rFonts w:ascii="Arial" w:hAnsi="Arial" w:cs="Arial"/>
        </w:rPr>
      </w:pPr>
    </w:p>
    <w:p w:rsidR="000229C2" w:rsidRDefault="000229C2">
      <w:pPr>
        <w:pStyle w:val="FootnoteText"/>
        <w:rPr>
          <w:rFonts w:ascii="Arial" w:hAnsi="Arial" w:cs="Arial"/>
        </w:rPr>
      </w:pPr>
    </w:p>
    <w:p w:rsidR="000229C2" w:rsidRPr="00022C99" w:rsidRDefault="000229C2" w:rsidP="000229C2">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E2" w:rsidRPr="000B55E2" w:rsidRDefault="000B55E2">
    <w:pPr>
      <w:pStyle w:val="Header"/>
      <w:rPr>
        <w:rFonts w:ascii="Arial" w:hAnsi="Arial" w:cs="Arial"/>
        <w:sz w:val="24"/>
        <w:szCs w:val="24"/>
      </w:rPr>
    </w:pPr>
    <w:r w:rsidRPr="000B55E2">
      <w:rPr>
        <w:rFonts w:ascii="Arial" w:hAnsi="Arial" w:cs="Arial"/>
        <w:sz w:val="24"/>
        <w:szCs w:val="24"/>
      </w:rPr>
      <w:t>IA – RIN 2900-AO73</w:t>
    </w:r>
  </w:p>
  <w:p w:rsidR="000B55E2" w:rsidRDefault="000B55E2">
    <w:pPr>
      <w:pStyle w:val="Header"/>
      <w:rPr>
        <w:rFonts w:ascii="Arial" w:hAnsi="Arial" w:cs="Arial"/>
        <w:noProof/>
        <w:sz w:val="24"/>
        <w:szCs w:val="24"/>
      </w:rPr>
    </w:pPr>
    <w:r w:rsidRPr="000B55E2">
      <w:rPr>
        <w:rFonts w:ascii="Arial" w:hAnsi="Arial" w:cs="Arial"/>
        <w:sz w:val="24"/>
        <w:szCs w:val="24"/>
      </w:rPr>
      <w:t xml:space="preserve">Page </w:t>
    </w:r>
    <w:r w:rsidRPr="000B55E2">
      <w:rPr>
        <w:rFonts w:ascii="Arial" w:hAnsi="Arial" w:cs="Arial"/>
        <w:sz w:val="24"/>
        <w:szCs w:val="24"/>
      </w:rPr>
      <w:fldChar w:fldCharType="begin"/>
    </w:r>
    <w:r w:rsidRPr="000B55E2">
      <w:rPr>
        <w:rFonts w:ascii="Arial" w:hAnsi="Arial" w:cs="Arial"/>
        <w:sz w:val="24"/>
        <w:szCs w:val="24"/>
      </w:rPr>
      <w:instrText xml:space="preserve"> PAGE   \* MERGEFORMAT </w:instrText>
    </w:r>
    <w:r w:rsidRPr="000B55E2">
      <w:rPr>
        <w:rFonts w:ascii="Arial" w:hAnsi="Arial" w:cs="Arial"/>
        <w:sz w:val="24"/>
        <w:szCs w:val="24"/>
      </w:rPr>
      <w:fldChar w:fldCharType="separate"/>
    </w:r>
    <w:r w:rsidR="009227E9">
      <w:rPr>
        <w:rFonts w:ascii="Arial" w:hAnsi="Arial" w:cs="Arial"/>
        <w:noProof/>
        <w:sz w:val="24"/>
        <w:szCs w:val="24"/>
      </w:rPr>
      <w:t>3</w:t>
    </w:r>
    <w:r w:rsidRPr="000B55E2">
      <w:rPr>
        <w:rFonts w:ascii="Arial" w:hAnsi="Arial" w:cs="Arial"/>
        <w:noProof/>
        <w:sz w:val="24"/>
        <w:szCs w:val="24"/>
      </w:rPr>
      <w:fldChar w:fldCharType="end"/>
    </w:r>
  </w:p>
  <w:p w:rsidR="000B55E2" w:rsidRDefault="000B5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C01"/>
    <w:multiLevelType w:val="hybridMultilevel"/>
    <w:tmpl w:val="50C401B2"/>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86643"/>
    <w:multiLevelType w:val="hybridMultilevel"/>
    <w:tmpl w:val="B4A80F00"/>
    <w:lvl w:ilvl="0" w:tplc="F2F07196">
      <w:start w:val="1"/>
      <w:numFmt w:val="lowerLetter"/>
      <w:lvlText w:val="%1."/>
      <w:lvlJc w:val="left"/>
      <w:pPr>
        <w:tabs>
          <w:tab w:val="num" w:pos="720"/>
        </w:tabs>
        <w:ind w:left="720" w:hanging="360"/>
      </w:pPr>
      <w:rPr>
        <w:rFonts w:ascii="Arial" w:hAnsi="Arial"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74988"/>
    <w:multiLevelType w:val="hybridMultilevel"/>
    <w:tmpl w:val="58C634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F4C189C"/>
    <w:multiLevelType w:val="hybridMultilevel"/>
    <w:tmpl w:val="93A0D806"/>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0C47563"/>
    <w:multiLevelType w:val="hybridMultilevel"/>
    <w:tmpl w:val="280CB1A8"/>
    <w:lvl w:ilvl="0" w:tplc="10DAFF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1F8127A"/>
    <w:multiLevelType w:val="hybridMultilevel"/>
    <w:tmpl w:val="E61096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C19B3"/>
    <w:multiLevelType w:val="hybridMultilevel"/>
    <w:tmpl w:val="1CA0AD1C"/>
    <w:lvl w:ilvl="0" w:tplc="36968C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C77C15"/>
    <w:multiLevelType w:val="hybridMultilevel"/>
    <w:tmpl w:val="F38CD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13CC0"/>
    <w:multiLevelType w:val="hybridMultilevel"/>
    <w:tmpl w:val="0F2667CA"/>
    <w:lvl w:ilvl="0" w:tplc="4A0063F6">
      <w:start w:val="1"/>
      <w:numFmt w:val="lowerLetter"/>
      <w:lvlText w:val="%1)"/>
      <w:lvlJc w:val="left"/>
      <w:pPr>
        <w:tabs>
          <w:tab w:val="num" w:pos="720"/>
        </w:tabs>
        <w:ind w:left="720" w:hanging="360"/>
      </w:pPr>
      <w:rPr>
        <w:rFonts w:hint="default"/>
        <w:sz w:val="24"/>
      </w:rPr>
    </w:lvl>
    <w:lvl w:ilvl="1" w:tplc="085C1C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782E96"/>
    <w:multiLevelType w:val="multilevel"/>
    <w:tmpl w:val="3F82BFD6"/>
    <w:lvl w:ilvl="0">
      <w:start w:val="1"/>
      <w:numFmt w:val="decimal"/>
      <w:lvlText w:val="%1."/>
      <w:lvlJc w:val="left"/>
      <w:pPr>
        <w:tabs>
          <w:tab w:val="num" w:pos="2160"/>
        </w:tabs>
        <w:ind w:left="2160" w:hanging="360"/>
      </w:pPr>
      <w:rPr>
        <w:rFonts w:hint="default"/>
      </w:rPr>
    </w:lvl>
    <w:lvl w:ilvl="1">
      <w:start w:val="6"/>
      <w:numFmt w:val="decimalZero"/>
      <w:isLgl/>
      <w:lvlText w:val="%1.%2"/>
      <w:lvlJc w:val="left"/>
      <w:pPr>
        <w:tabs>
          <w:tab w:val="num" w:pos="2640"/>
        </w:tabs>
        <w:ind w:left="2640" w:hanging="48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5760"/>
        </w:tabs>
        <w:ind w:left="576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10" w15:restartNumberingAfterBreak="0">
    <w:nsid w:val="3E5A48A1"/>
    <w:multiLevelType w:val="hybridMultilevel"/>
    <w:tmpl w:val="51FE1798"/>
    <w:lvl w:ilvl="0" w:tplc="703ADCFC">
      <w:start w:val="4"/>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C80214"/>
    <w:multiLevelType w:val="hybridMultilevel"/>
    <w:tmpl w:val="712C0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BB13A1"/>
    <w:multiLevelType w:val="hybridMultilevel"/>
    <w:tmpl w:val="88280ED8"/>
    <w:lvl w:ilvl="0" w:tplc="15CC7B5A">
      <w:start w:val="4"/>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C74950"/>
    <w:multiLevelType w:val="hybridMultilevel"/>
    <w:tmpl w:val="86CCA460"/>
    <w:lvl w:ilvl="0" w:tplc="C9B01B6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8"/>
  </w:num>
  <w:num w:numId="2">
    <w:abstractNumId w:val="4"/>
  </w:num>
  <w:num w:numId="3">
    <w:abstractNumId w:val="2"/>
  </w:num>
  <w:num w:numId="4">
    <w:abstractNumId w:val="13"/>
  </w:num>
  <w:num w:numId="5">
    <w:abstractNumId w:val="11"/>
  </w:num>
  <w:num w:numId="6">
    <w:abstractNumId w:val="9"/>
  </w:num>
  <w:num w:numId="7">
    <w:abstractNumId w:val="10"/>
  </w:num>
  <w:num w:numId="8">
    <w:abstractNumId w:val="12"/>
  </w:num>
  <w:num w:numId="9">
    <w:abstractNumId w:val="5"/>
  </w:num>
  <w:num w:numId="10">
    <w:abstractNumId w:val="3"/>
  </w:num>
  <w:num w:numId="11">
    <w:abstractNumId w:val="0"/>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4B"/>
    <w:rsid w:val="000229C2"/>
    <w:rsid w:val="00022C99"/>
    <w:rsid w:val="0004236C"/>
    <w:rsid w:val="00053AB4"/>
    <w:rsid w:val="000611D3"/>
    <w:rsid w:val="000A0F73"/>
    <w:rsid w:val="000B55E2"/>
    <w:rsid w:val="000C569C"/>
    <w:rsid w:val="000D798B"/>
    <w:rsid w:val="000F2F54"/>
    <w:rsid w:val="000F5579"/>
    <w:rsid w:val="00135C7B"/>
    <w:rsid w:val="00137F47"/>
    <w:rsid w:val="001530D6"/>
    <w:rsid w:val="00180CFC"/>
    <w:rsid w:val="001D539D"/>
    <w:rsid w:val="001E53C1"/>
    <w:rsid w:val="001E74C1"/>
    <w:rsid w:val="002A359D"/>
    <w:rsid w:val="002C0680"/>
    <w:rsid w:val="002C1F46"/>
    <w:rsid w:val="002C467A"/>
    <w:rsid w:val="002E36DB"/>
    <w:rsid w:val="002F43A7"/>
    <w:rsid w:val="00306376"/>
    <w:rsid w:val="0031166B"/>
    <w:rsid w:val="00327B1F"/>
    <w:rsid w:val="0033239B"/>
    <w:rsid w:val="0039340D"/>
    <w:rsid w:val="003B3F53"/>
    <w:rsid w:val="003C6423"/>
    <w:rsid w:val="003D41C0"/>
    <w:rsid w:val="003D4CB2"/>
    <w:rsid w:val="003E0D42"/>
    <w:rsid w:val="004627B5"/>
    <w:rsid w:val="0046389E"/>
    <w:rsid w:val="00464C94"/>
    <w:rsid w:val="004D2643"/>
    <w:rsid w:val="004D6434"/>
    <w:rsid w:val="004E5ADA"/>
    <w:rsid w:val="004E70E0"/>
    <w:rsid w:val="00515877"/>
    <w:rsid w:val="00526CF0"/>
    <w:rsid w:val="005276B8"/>
    <w:rsid w:val="00546D00"/>
    <w:rsid w:val="0055780E"/>
    <w:rsid w:val="00571535"/>
    <w:rsid w:val="00572D4B"/>
    <w:rsid w:val="00573746"/>
    <w:rsid w:val="00580C09"/>
    <w:rsid w:val="005976BB"/>
    <w:rsid w:val="005B12A6"/>
    <w:rsid w:val="005C279F"/>
    <w:rsid w:val="005C50B2"/>
    <w:rsid w:val="00602D49"/>
    <w:rsid w:val="00603D6C"/>
    <w:rsid w:val="00607E8F"/>
    <w:rsid w:val="0064023A"/>
    <w:rsid w:val="0064576A"/>
    <w:rsid w:val="00652BB8"/>
    <w:rsid w:val="006C7C39"/>
    <w:rsid w:val="006D035D"/>
    <w:rsid w:val="006F3917"/>
    <w:rsid w:val="00700DA0"/>
    <w:rsid w:val="0073055C"/>
    <w:rsid w:val="0074374F"/>
    <w:rsid w:val="007605EE"/>
    <w:rsid w:val="007754DB"/>
    <w:rsid w:val="007770FF"/>
    <w:rsid w:val="00781E16"/>
    <w:rsid w:val="007B723A"/>
    <w:rsid w:val="007C0F46"/>
    <w:rsid w:val="007D7004"/>
    <w:rsid w:val="007E2BE9"/>
    <w:rsid w:val="00800714"/>
    <w:rsid w:val="008178BF"/>
    <w:rsid w:val="00817E61"/>
    <w:rsid w:val="00826307"/>
    <w:rsid w:val="00845044"/>
    <w:rsid w:val="00860A62"/>
    <w:rsid w:val="00864773"/>
    <w:rsid w:val="00867918"/>
    <w:rsid w:val="00874560"/>
    <w:rsid w:val="00876B5F"/>
    <w:rsid w:val="00877BC3"/>
    <w:rsid w:val="00877E70"/>
    <w:rsid w:val="00884CCE"/>
    <w:rsid w:val="0088714D"/>
    <w:rsid w:val="008A5915"/>
    <w:rsid w:val="008B600B"/>
    <w:rsid w:val="008D14AE"/>
    <w:rsid w:val="008D1523"/>
    <w:rsid w:val="008D7CB3"/>
    <w:rsid w:val="008F0F44"/>
    <w:rsid w:val="008F7370"/>
    <w:rsid w:val="009227E9"/>
    <w:rsid w:val="0093546F"/>
    <w:rsid w:val="0094029B"/>
    <w:rsid w:val="00951101"/>
    <w:rsid w:val="0096221A"/>
    <w:rsid w:val="009905F7"/>
    <w:rsid w:val="0099302D"/>
    <w:rsid w:val="009A3A0F"/>
    <w:rsid w:val="009A3E00"/>
    <w:rsid w:val="009A67D9"/>
    <w:rsid w:val="009D68B7"/>
    <w:rsid w:val="009E28AC"/>
    <w:rsid w:val="009E3068"/>
    <w:rsid w:val="009E329C"/>
    <w:rsid w:val="009F291D"/>
    <w:rsid w:val="00A37F67"/>
    <w:rsid w:val="00A676A2"/>
    <w:rsid w:val="00AB15FC"/>
    <w:rsid w:val="00AB4EC8"/>
    <w:rsid w:val="00AC091B"/>
    <w:rsid w:val="00AC1CCF"/>
    <w:rsid w:val="00AD0A4E"/>
    <w:rsid w:val="00AF5732"/>
    <w:rsid w:val="00B33E8F"/>
    <w:rsid w:val="00B729E2"/>
    <w:rsid w:val="00B8301C"/>
    <w:rsid w:val="00BA51FF"/>
    <w:rsid w:val="00BB3EC9"/>
    <w:rsid w:val="00BD7CCE"/>
    <w:rsid w:val="00BF3587"/>
    <w:rsid w:val="00C136FB"/>
    <w:rsid w:val="00C34320"/>
    <w:rsid w:val="00C60966"/>
    <w:rsid w:val="00C86171"/>
    <w:rsid w:val="00C9664F"/>
    <w:rsid w:val="00C97D71"/>
    <w:rsid w:val="00CB067D"/>
    <w:rsid w:val="00CC0A9D"/>
    <w:rsid w:val="00CD17E7"/>
    <w:rsid w:val="00CF5DBC"/>
    <w:rsid w:val="00CF7579"/>
    <w:rsid w:val="00D23328"/>
    <w:rsid w:val="00D248FD"/>
    <w:rsid w:val="00D27B5A"/>
    <w:rsid w:val="00D40BDE"/>
    <w:rsid w:val="00D44918"/>
    <w:rsid w:val="00D51723"/>
    <w:rsid w:val="00D57D07"/>
    <w:rsid w:val="00D67310"/>
    <w:rsid w:val="00D824B2"/>
    <w:rsid w:val="00DA60C3"/>
    <w:rsid w:val="00DD297E"/>
    <w:rsid w:val="00DE3A8F"/>
    <w:rsid w:val="00DE707C"/>
    <w:rsid w:val="00DF6E97"/>
    <w:rsid w:val="00E421E9"/>
    <w:rsid w:val="00E76077"/>
    <w:rsid w:val="00E76085"/>
    <w:rsid w:val="00E9217F"/>
    <w:rsid w:val="00EA0206"/>
    <w:rsid w:val="00EA73CD"/>
    <w:rsid w:val="00EA77CF"/>
    <w:rsid w:val="00EE4D68"/>
    <w:rsid w:val="00F15A2A"/>
    <w:rsid w:val="00F53393"/>
    <w:rsid w:val="00F55E6D"/>
    <w:rsid w:val="00F749F4"/>
    <w:rsid w:val="00F86EEC"/>
    <w:rsid w:val="00F950CD"/>
    <w:rsid w:val="00FA4A57"/>
    <w:rsid w:val="00FA6F4E"/>
    <w:rsid w:val="00FB24C1"/>
    <w:rsid w:val="00FC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D24673-320C-459E-9A98-7CE41D09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firstLine="720"/>
      <w:jc w:val="right"/>
      <w:outlineLvl w:val="1"/>
    </w:pPr>
    <w:rPr>
      <w:sz w:val="24"/>
    </w:rPr>
  </w:style>
  <w:style w:type="paragraph" w:styleId="Heading3">
    <w:name w:val="heading 3"/>
    <w:basedOn w:val="Normal"/>
    <w:next w:val="Normal"/>
    <w:qFormat/>
    <w:pPr>
      <w:keepNext/>
      <w:ind w:left="720"/>
      <w:outlineLvl w:val="2"/>
    </w:pPr>
    <w:rPr>
      <w:rFonts w:ascii="Arial" w:hAnsi="Arial" w:cs="Arial"/>
      <w:i/>
      <w:iCs/>
      <w:sz w:val="24"/>
      <w:u w:val="single"/>
    </w:rPr>
  </w:style>
  <w:style w:type="paragraph" w:styleId="Heading4">
    <w:name w:val="heading 4"/>
    <w:basedOn w:val="Normal"/>
    <w:next w:val="Normal"/>
    <w:qFormat/>
    <w:pPr>
      <w:keepNext/>
      <w:ind w:left="2070"/>
      <w:outlineLvl w:val="3"/>
    </w:pPr>
    <w:rPr>
      <w:rFonts w:ascii="Arial" w:hAnsi="Arial" w:cs="Arial"/>
      <w:b/>
      <w:bCs/>
      <w:sz w:val="22"/>
    </w:rPr>
  </w:style>
  <w:style w:type="paragraph" w:styleId="Heading5">
    <w:name w:val="heading 5"/>
    <w:basedOn w:val="Normal"/>
    <w:next w:val="Normal"/>
    <w:qFormat/>
    <w:pPr>
      <w:keepNext/>
      <w:ind w:left="1530"/>
      <w:outlineLvl w:val="4"/>
    </w:pPr>
    <w:rPr>
      <w:rFonts w:ascii="Arial" w:hAnsi="Arial" w:cs="Arial"/>
      <w:sz w:val="24"/>
    </w:rPr>
  </w:style>
  <w:style w:type="paragraph" w:styleId="Heading6">
    <w:name w:val="heading 6"/>
    <w:basedOn w:val="Normal"/>
    <w:next w:val="Normal"/>
    <w:qFormat/>
    <w:pPr>
      <w:keepNext/>
      <w:ind w:left="360"/>
      <w:outlineLvl w:val="5"/>
    </w:pPr>
    <w:rPr>
      <w:rFonts w:ascii="Arial" w:hAnsi="Arial" w:cs="Arial"/>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semiHidden/>
    <w:pPr>
      <w:jc w:val="both"/>
    </w:pPr>
    <w:rPr>
      <w:sz w:val="24"/>
    </w:rPr>
  </w:style>
  <w:style w:type="paragraph" w:styleId="BodyTextIndent">
    <w:name w:val="Body Text Indent"/>
    <w:basedOn w:val="Normal"/>
    <w:semiHidden/>
    <w:pPr>
      <w:ind w:left="1440"/>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customStyle="1" w:styleId="cssmain1">
    <w:name w:val="cssmain1"/>
    <w:basedOn w:val="DefaultParagraphFont"/>
  </w:style>
  <w:style w:type="paragraph" w:styleId="FootnoteText">
    <w:name w:val="footnote text"/>
    <w:basedOn w:val="Normal"/>
    <w:semiHidden/>
  </w:style>
  <w:style w:type="paragraph" w:styleId="BodyTextIndent2">
    <w:name w:val="Body Text Indent 2"/>
    <w:basedOn w:val="Normal"/>
    <w:semiHidden/>
    <w:pPr>
      <w:ind w:left="720"/>
      <w:jc w:val="both"/>
    </w:pPr>
    <w:rPr>
      <w:sz w:val="24"/>
    </w:rPr>
  </w:style>
  <w:style w:type="paragraph" w:styleId="BodyTextIndent3">
    <w:name w:val="Body Text Indent 3"/>
    <w:basedOn w:val="Normal"/>
    <w:semiHidden/>
    <w:pPr>
      <w:ind w:left="720"/>
    </w:pPr>
    <w:rPr>
      <w:rFonts w:ascii="Arial" w:hAnsi="Arial" w:cs="Arial"/>
      <w:sz w:val="24"/>
    </w:rPr>
  </w:style>
  <w:style w:type="paragraph" w:styleId="BodyText3">
    <w:name w:val="Body Text 3"/>
    <w:basedOn w:val="Normal"/>
    <w:semiHidden/>
    <w:pPr>
      <w:overflowPunct w:val="0"/>
      <w:autoSpaceDE w:val="0"/>
      <w:autoSpaceDN w:val="0"/>
      <w:adjustRightInd w:val="0"/>
      <w:jc w:val="both"/>
      <w:textAlignment w:val="baseline"/>
    </w:pPr>
    <w:rPr>
      <w:rFonts w:ascii="Book Antiqua" w:hAnsi="Book Antiqua"/>
      <w:sz w:val="24"/>
    </w:rPr>
  </w:style>
  <w:style w:type="paragraph" w:styleId="ListParagraph">
    <w:name w:val="List Paragraph"/>
    <w:basedOn w:val="Normal"/>
    <w:uiPriority w:val="34"/>
    <w:qFormat/>
    <w:rsid w:val="00FA6F4E"/>
    <w:pPr>
      <w:ind w:left="720"/>
    </w:pPr>
  </w:style>
  <w:style w:type="character" w:styleId="CommentReference">
    <w:name w:val="annotation reference"/>
    <w:uiPriority w:val="99"/>
    <w:rsid w:val="00D51723"/>
    <w:rPr>
      <w:sz w:val="16"/>
      <w:szCs w:val="16"/>
    </w:rPr>
  </w:style>
  <w:style w:type="paragraph" w:styleId="CommentText">
    <w:name w:val="annotation text"/>
    <w:basedOn w:val="Normal"/>
    <w:link w:val="CommentTextChar"/>
    <w:uiPriority w:val="99"/>
    <w:rsid w:val="00D51723"/>
    <w:pPr>
      <w:widowControl w:val="0"/>
      <w:suppressAutoHyphens/>
    </w:pPr>
    <w:rPr>
      <w:rFonts w:ascii="Arial Unicode MS" w:eastAsia="Arial Unicode MS" w:hAnsi="Arial Unicode MS" w:cs="Arial Unicode MS"/>
      <w:lang w:eastAsia="hi-IN" w:bidi="hi-IN"/>
    </w:rPr>
  </w:style>
  <w:style w:type="character" w:customStyle="1" w:styleId="CommentTextChar">
    <w:name w:val="Comment Text Char"/>
    <w:link w:val="CommentText"/>
    <w:uiPriority w:val="99"/>
    <w:rsid w:val="00D51723"/>
    <w:rPr>
      <w:rFonts w:ascii="Arial Unicode MS" w:eastAsia="Arial Unicode MS" w:hAnsi="Arial Unicode MS" w:cs="Arial Unicode MS"/>
      <w:lang w:eastAsia="hi-IN" w:bidi="hi-IN"/>
    </w:rPr>
  </w:style>
  <w:style w:type="paragraph" w:styleId="BalloonText">
    <w:name w:val="Balloon Text"/>
    <w:basedOn w:val="Normal"/>
    <w:link w:val="BalloonTextChar"/>
    <w:uiPriority w:val="99"/>
    <w:semiHidden/>
    <w:unhideWhenUsed/>
    <w:rsid w:val="00D51723"/>
    <w:rPr>
      <w:rFonts w:ascii="Tahoma" w:hAnsi="Tahoma" w:cs="Tahoma"/>
      <w:sz w:val="16"/>
      <w:szCs w:val="16"/>
    </w:rPr>
  </w:style>
  <w:style w:type="character" w:customStyle="1" w:styleId="BalloonTextChar">
    <w:name w:val="Balloon Text Char"/>
    <w:link w:val="BalloonText"/>
    <w:uiPriority w:val="99"/>
    <w:semiHidden/>
    <w:rsid w:val="00D51723"/>
    <w:rPr>
      <w:rFonts w:ascii="Tahoma" w:hAnsi="Tahoma" w:cs="Tahoma"/>
      <w:sz w:val="16"/>
      <w:szCs w:val="16"/>
    </w:rPr>
  </w:style>
  <w:style w:type="paragraph" w:customStyle="1" w:styleId="RS">
    <w:name w:val="RS"/>
    <w:basedOn w:val="Normal"/>
    <w:rsid w:val="00700DA0"/>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8D14AE"/>
    <w:pPr>
      <w:widowControl/>
      <w:suppressAutoHyphens w:val="0"/>
    </w:pPr>
    <w:rPr>
      <w:rFonts w:ascii="Times New Roman" w:eastAsia="Times New Roman" w:hAnsi="Times New Roman" w:cs="Times New Roman"/>
      <w:b/>
      <w:bCs/>
      <w:lang w:eastAsia="en-US" w:bidi="ar-SA"/>
    </w:rPr>
  </w:style>
  <w:style w:type="character" w:customStyle="1" w:styleId="CommentSubjectChar">
    <w:name w:val="Comment Subject Char"/>
    <w:link w:val="CommentSubject"/>
    <w:uiPriority w:val="99"/>
    <w:semiHidden/>
    <w:rsid w:val="008D14AE"/>
    <w:rPr>
      <w:rFonts w:ascii="Arial Unicode MS" w:eastAsia="Arial Unicode MS" w:hAnsi="Arial Unicode MS" w:cs="Arial Unicode MS"/>
      <w:b/>
      <w:bCs/>
      <w:lang w:eastAsia="hi-IN" w:bidi="hi-IN"/>
    </w:rPr>
  </w:style>
  <w:style w:type="table" w:styleId="TableGrid">
    <w:name w:val="Table Grid"/>
    <w:basedOn w:val="TableNormal"/>
    <w:uiPriority w:val="59"/>
    <w:rsid w:val="0055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7B5A"/>
  </w:style>
  <w:style w:type="character" w:styleId="FootnoteReference">
    <w:name w:val="footnote reference"/>
    <w:basedOn w:val="DefaultParagraphFont"/>
    <w:uiPriority w:val="99"/>
    <w:semiHidden/>
    <w:unhideWhenUsed/>
    <w:rsid w:val="00022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5421">
      <w:bodyDiv w:val="1"/>
      <w:marLeft w:val="0"/>
      <w:marRight w:val="0"/>
      <w:marTop w:val="0"/>
      <w:marBottom w:val="0"/>
      <w:divBdr>
        <w:top w:val="none" w:sz="0" w:space="0" w:color="auto"/>
        <w:left w:val="none" w:sz="0" w:space="0" w:color="auto"/>
        <w:bottom w:val="none" w:sz="0" w:space="0" w:color="auto"/>
        <w:right w:val="none" w:sz="0" w:space="0" w:color="auto"/>
      </w:divBdr>
    </w:div>
    <w:div w:id="214314983">
      <w:bodyDiv w:val="1"/>
      <w:marLeft w:val="0"/>
      <w:marRight w:val="0"/>
      <w:marTop w:val="0"/>
      <w:marBottom w:val="0"/>
      <w:divBdr>
        <w:top w:val="none" w:sz="0" w:space="0" w:color="auto"/>
        <w:left w:val="none" w:sz="0" w:space="0" w:color="auto"/>
        <w:bottom w:val="none" w:sz="0" w:space="0" w:color="auto"/>
        <w:right w:val="none" w:sz="0" w:space="0" w:color="auto"/>
      </w:divBdr>
    </w:div>
    <w:div w:id="505171856">
      <w:bodyDiv w:val="1"/>
      <w:marLeft w:val="0"/>
      <w:marRight w:val="0"/>
      <w:marTop w:val="0"/>
      <w:marBottom w:val="0"/>
      <w:divBdr>
        <w:top w:val="none" w:sz="0" w:space="0" w:color="auto"/>
        <w:left w:val="none" w:sz="0" w:space="0" w:color="auto"/>
        <w:bottom w:val="none" w:sz="0" w:space="0" w:color="auto"/>
        <w:right w:val="none" w:sz="0" w:space="0" w:color="auto"/>
      </w:divBdr>
    </w:div>
    <w:div w:id="680816876">
      <w:bodyDiv w:val="1"/>
      <w:marLeft w:val="0"/>
      <w:marRight w:val="0"/>
      <w:marTop w:val="0"/>
      <w:marBottom w:val="0"/>
      <w:divBdr>
        <w:top w:val="none" w:sz="0" w:space="0" w:color="auto"/>
        <w:left w:val="none" w:sz="0" w:space="0" w:color="auto"/>
        <w:bottom w:val="none" w:sz="0" w:space="0" w:color="auto"/>
        <w:right w:val="none" w:sz="0" w:space="0" w:color="auto"/>
      </w:divBdr>
    </w:div>
    <w:div w:id="1454178313">
      <w:bodyDiv w:val="1"/>
      <w:marLeft w:val="0"/>
      <w:marRight w:val="0"/>
      <w:marTop w:val="0"/>
      <w:marBottom w:val="0"/>
      <w:divBdr>
        <w:top w:val="none" w:sz="0" w:space="0" w:color="auto"/>
        <w:left w:val="none" w:sz="0" w:space="0" w:color="auto"/>
        <w:bottom w:val="none" w:sz="0" w:space="0" w:color="auto"/>
        <w:right w:val="none" w:sz="0" w:space="0" w:color="auto"/>
      </w:divBdr>
    </w:div>
    <w:div w:id="1672102041">
      <w:bodyDiv w:val="1"/>
      <w:marLeft w:val="0"/>
      <w:marRight w:val="0"/>
      <w:marTop w:val="0"/>
      <w:marBottom w:val="0"/>
      <w:divBdr>
        <w:top w:val="none" w:sz="0" w:space="0" w:color="auto"/>
        <w:left w:val="none" w:sz="0" w:space="0" w:color="auto"/>
        <w:bottom w:val="none" w:sz="0" w:space="0" w:color="auto"/>
        <w:right w:val="none" w:sz="0" w:space="0" w:color="auto"/>
      </w:divBdr>
    </w:div>
    <w:div w:id="17561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8321EBCE7614D8CB8946D23E4ADC4" ma:contentTypeVersion="0" ma:contentTypeDescription="Create a new document." ma:contentTypeScope="" ma:versionID="cc04a1e98dbaabc056f93f9a7d3954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FD19-B852-4790-982E-3F73AECFD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2833C2-8CAD-42BC-B44C-901F6F52E753}">
  <ds:schemaRefs>
    <ds:schemaRef ds:uri="http://schemas.microsoft.com/sharepoint/v3/contenttype/forms"/>
  </ds:schemaRefs>
</ds:datastoreItem>
</file>

<file path=customXml/itemProps3.xml><?xml version="1.0" encoding="utf-8"?>
<ds:datastoreItem xmlns:ds="http://schemas.openxmlformats.org/officeDocument/2006/customXml" ds:itemID="{25DAE222-7531-4595-A862-A6E1AB6495EE}">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2722AB7-ED9A-4436-9E0C-A63482EC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vba</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ORMDNEWM</dc:creator>
  <cp:lastModifiedBy>Patty Servaes</cp:lastModifiedBy>
  <cp:revision>2</cp:revision>
  <cp:lastPrinted>2015-01-23T13:32:00Z</cp:lastPrinted>
  <dcterms:created xsi:type="dcterms:W3CDTF">2015-07-10T17:31:00Z</dcterms:created>
  <dcterms:modified xsi:type="dcterms:W3CDTF">2015-07-10T17:31:00Z</dcterms:modified>
</cp:coreProperties>
</file>